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CC5CB" w14:textId="21737ED0" w:rsidR="001F210E" w:rsidRDefault="007F2B0C" w:rsidP="002B0496">
      <w:pPr>
        <w:jc w:val="center"/>
        <w:rPr>
          <w:b/>
          <w:bCs/>
        </w:rPr>
      </w:pPr>
      <w:r w:rsidRPr="007F2B0C">
        <w:rPr>
          <w:b/>
          <w:bCs/>
        </w:rPr>
        <w:t>Demography</w:t>
      </w:r>
    </w:p>
    <w:p w14:paraId="66D4A9C2" w14:textId="77777777" w:rsidR="007F2B0C" w:rsidRPr="007F2B0C" w:rsidRDefault="007F2B0C" w:rsidP="002B0496">
      <w:pPr>
        <w:jc w:val="both"/>
        <w:rPr>
          <w:b/>
          <w:bCs/>
        </w:rPr>
      </w:pPr>
    </w:p>
    <w:p w14:paraId="79F8BA0D" w14:textId="3B410DBF" w:rsidR="007F2B0C" w:rsidRPr="007F2B0C" w:rsidRDefault="007F2B0C" w:rsidP="002B0496">
      <w:pPr>
        <w:jc w:val="right"/>
        <w:rPr>
          <w:i/>
          <w:iCs/>
        </w:rPr>
      </w:pPr>
      <w:r w:rsidRPr="007F2B0C">
        <w:rPr>
          <w:i/>
          <w:iCs/>
        </w:rPr>
        <w:t>7</w:t>
      </w:r>
      <w:r w:rsidRPr="007F2B0C">
        <w:rPr>
          <w:i/>
          <w:iCs/>
          <w:vertAlign w:val="superscript"/>
        </w:rPr>
        <w:t>th</w:t>
      </w:r>
      <w:r w:rsidRPr="007F2B0C">
        <w:rPr>
          <w:i/>
          <w:iCs/>
        </w:rPr>
        <w:t xml:space="preserve"> December 2019</w:t>
      </w:r>
    </w:p>
    <w:p w14:paraId="28DEFAB4" w14:textId="77777777" w:rsidR="00627CFB" w:rsidRDefault="00627CFB" w:rsidP="002B0496">
      <w:pPr>
        <w:jc w:val="both"/>
      </w:pPr>
    </w:p>
    <w:p w14:paraId="27556AD5" w14:textId="77777777" w:rsidR="002B0496" w:rsidRDefault="00627CFB" w:rsidP="002B0496">
      <w:pPr>
        <w:pStyle w:val="ListParagraph"/>
        <w:numPr>
          <w:ilvl w:val="0"/>
          <w:numId w:val="2"/>
        </w:numPr>
        <w:jc w:val="both"/>
        <w:rPr>
          <w:b/>
          <w:bCs/>
        </w:rPr>
      </w:pPr>
      <w:r w:rsidRPr="00627CFB">
        <w:rPr>
          <w:b/>
          <w:bCs/>
        </w:rPr>
        <w:t>Mechanisms</w:t>
      </w:r>
    </w:p>
    <w:p w14:paraId="1564402C" w14:textId="10374FBE" w:rsidR="002B0496" w:rsidRDefault="00AF1690" w:rsidP="00BD265E">
      <w:pPr>
        <w:pStyle w:val="ListParagraph"/>
        <w:numPr>
          <w:ilvl w:val="1"/>
          <w:numId w:val="2"/>
        </w:numPr>
        <w:ind w:left="1080"/>
        <w:jc w:val="both"/>
        <w:rPr>
          <w:b/>
          <w:bCs/>
        </w:rPr>
      </w:pPr>
      <w:r>
        <w:rPr>
          <w:b/>
          <w:bCs/>
        </w:rPr>
        <w:t>Population Structure</w:t>
      </w:r>
    </w:p>
    <w:p w14:paraId="2325B5BE" w14:textId="64A5D7BA" w:rsidR="002B0496" w:rsidRDefault="00AF1690" w:rsidP="00BD265E">
      <w:pPr>
        <w:pStyle w:val="ListParagraph"/>
        <w:ind w:left="1080"/>
        <w:jc w:val="both"/>
      </w:pPr>
      <w:r>
        <w:t xml:space="preserve">The population is stratified according to the Districts of Residence. The 2018 census [1] reports with respect to the following listing of districts, which can also be grouped by Region (see Table). This is adopted in the model. To provide ease of use, a unique </w:t>
      </w:r>
      <w:proofErr w:type="spellStart"/>
      <w:r>
        <w:t>District_Num</w:t>
      </w:r>
      <w:proofErr w:type="spellEnd"/>
      <w:r>
        <w:t xml:space="preserve"> is assigned to each district.</w:t>
      </w:r>
    </w:p>
    <w:p w14:paraId="551F4CD8" w14:textId="2CD3D283" w:rsidR="00AF1690" w:rsidRDefault="00AF1690" w:rsidP="00BD265E">
      <w:pPr>
        <w:pStyle w:val="ListParagraph"/>
        <w:ind w:left="1080"/>
        <w:jc w:val="both"/>
      </w:pPr>
    </w:p>
    <w:p w14:paraId="553FAF79" w14:textId="49804EBC" w:rsidR="00AF1690" w:rsidRDefault="00AF1690" w:rsidP="00BD265E">
      <w:pPr>
        <w:pStyle w:val="ListParagraph"/>
        <w:ind w:left="1080"/>
        <w:jc w:val="both"/>
      </w:pPr>
    </w:p>
    <w:p w14:paraId="5A596D4B" w14:textId="363FCE37" w:rsidR="00AF1690" w:rsidRDefault="00AF1690" w:rsidP="00BD265E">
      <w:pPr>
        <w:pStyle w:val="ListParagraph"/>
        <w:ind w:left="1080"/>
        <w:jc w:val="both"/>
      </w:pPr>
      <w:r w:rsidRPr="00AF1690">
        <w:rPr>
          <w:noProof/>
        </w:rPr>
        <w:drawing>
          <wp:inline distT="0" distB="0" distL="0" distR="0" wp14:anchorId="48D6E281" wp14:editId="7BE2AC2A">
            <wp:extent cx="5727700" cy="524637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5246370"/>
                    </a:xfrm>
                    <a:prstGeom prst="rect">
                      <a:avLst/>
                    </a:prstGeom>
                  </pic:spPr>
                </pic:pic>
              </a:graphicData>
            </a:graphic>
          </wp:inline>
        </w:drawing>
      </w:r>
    </w:p>
    <w:p w14:paraId="30B504AF" w14:textId="2B818624" w:rsidR="00AF1690" w:rsidRDefault="00AF1690" w:rsidP="00BD265E">
      <w:pPr>
        <w:pStyle w:val="ListParagraph"/>
        <w:ind w:left="1080"/>
        <w:jc w:val="both"/>
      </w:pPr>
    </w:p>
    <w:p w14:paraId="1A879EB4" w14:textId="77777777" w:rsidR="00AF1690" w:rsidRPr="002B0496" w:rsidRDefault="00AF1690" w:rsidP="00AF1690">
      <w:pPr>
        <w:jc w:val="both"/>
      </w:pPr>
    </w:p>
    <w:p w14:paraId="37288EC3" w14:textId="0FD919F9" w:rsidR="002B0496" w:rsidRDefault="002B0496" w:rsidP="00BD265E">
      <w:pPr>
        <w:pStyle w:val="ListParagraph"/>
        <w:numPr>
          <w:ilvl w:val="1"/>
          <w:numId w:val="2"/>
        </w:numPr>
        <w:ind w:left="1080"/>
        <w:jc w:val="both"/>
        <w:rPr>
          <w:b/>
          <w:bCs/>
        </w:rPr>
      </w:pPr>
      <w:r>
        <w:rPr>
          <w:b/>
          <w:bCs/>
        </w:rPr>
        <w:t>Initial Population Structure</w:t>
      </w:r>
      <w:r w:rsidR="00AF1690">
        <w:rPr>
          <w:b/>
          <w:bCs/>
        </w:rPr>
        <w:t xml:space="preserve"> and District Breakdown</w:t>
      </w:r>
    </w:p>
    <w:p w14:paraId="26415AED" w14:textId="1F00393A" w:rsidR="00FA5228" w:rsidRDefault="00FA5228" w:rsidP="00BD265E">
      <w:pPr>
        <w:pStyle w:val="ListParagraph"/>
        <w:ind w:left="1080"/>
        <w:jc w:val="both"/>
      </w:pPr>
    </w:p>
    <w:p w14:paraId="76AFA403" w14:textId="732DBE4C" w:rsidR="008E7767" w:rsidRDefault="008E7767" w:rsidP="008E7767">
      <w:pPr>
        <w:pStyle w:val="ListParagraph"/>
        <w:ind w:left="1080"/>
        <w:jc w:val="both"/>
      </w:pPr>
      <w:r>
        <w:t>The 2018 c</w:t>
      </w:r>
      <w:r w:rsidRPr="002B0496">
        <w:t>ensus [1]</w:t>
      </w:r>
      <w:r>
        <w:t xml:space="preserve"> provides a break-down of the population in that year with respect to district and sex, and separately with respect to district and age. These two tables were combined to give a breakdown with respect to sex, age and </w:t>
      </w:r>
      <w:r>
        <w:lastRenderedPageBreak/>
        <w:t>district under the assumption that the age-breakdown within each district was the same for each sex. This population structure was scaled so as to match the total population size for the start year of the simulation (2010) as reported by the World Population Prospect [2].</w:t>
      </w:r>
    </w:p>
    <w:p w14:paraId="6D87BD86" w14:textId="77777777" w:rsidR="002B0496" w:rsidRPr="002E3656" w:rsidRDefault="002B0496" w:rsidP="002E3656">
      <w:pPr>
        <w:jc w:val="both"/>
        <w:rPr>
          <w:b/>
          <w:bCs/>
        </w:rPr>
      </w:pPr>
    </w:p>
    <w:p w14:paraId="5660AA31" w14:textId="77777777" w:rsidR="002B0496" w:rsidRDefault="002B0496" w:rsidP="00BD265E">
      <w:pPr>
        <w:pStyle w:val="ListParagraph"/>
        <w:numPr>
          <w:ilvl w:val="1"/>
          <w:numId w:val="2"/>
        </w:numPr>
        <w:ind w:left="1080"/>
        <w:jc w:val="both"/>
        <w:rPr>
          <w:b/>
          <w:bCs/>
        </w:rPr>
      </w:pPr>
      <w:r>
        <w:rPr>
          <w:b/>
          <w:bCs/>
        </w:rPr>
        <w:t>Births</w:t>
      </w:r>
    </w:p>
    <w:p w14:paraId="556DFE47" w14:textId="001C5F45" w:rsidR="002B0496" w:rsidRDefault="00C63A4C" w:rsidP="00D84282">
      <w:pPr>
        <w:pStyle w:val="ListParagraph"/>
        <w:ind w:left="1080"/>
        <w:jc w:val="both"/>
      </w:pPr>
      <w:r>
        <w:t>The occurrence of b</w:t>
      </w:r>
      <w:r w:rsidR="002B0496">
        <w:t xml:space="preserve">irths </w:t>
      </w:r>
      <w:r>
        <w:t>is</w:t>
      </w:r>
      <w:r w:rsidR="002B0496">
        <w:t xml:space="preserve"> handled by the ‘</w:t>
      </w:r>
      <w:r w:rsidR="002B0496" w:rsidRPr="002B0496">
        <w:rPr>
          <w:i/>
          <w:iCs/>
        </w:rPr>
        <w:t>Contraception</w:t>
      </w:r>
      <w:r w:rsidR="002B0496">
        <w:t>’ module</w:t>
      </w:r>
      <w:r w:rsidR="00B829F1">
        <w:t xml:space="preserve">. </w:t>
      </w:r>
      <w:r>
        <w:t xml:space="preserve">The fraction of babies that are male in any year taken from the WPP [2] estimates </w:t>
      </w:r>
      <w:r w:rsidR="00D84282">
        <w:t xml:space="preserve">for the corresponding five-year period. </w:t>
      </w:r>
      <w:r w:rsidR="00B829F1">
        <w:t xml:space="preserve">Babies are assumed to be resident in the same place as their mothers. </w:t>
      </w:r>
      <w:r w:rsidR="002B0496">
        <w:t xml:space="preserve"> no further discussion is provided here.</w:t>
      </w:r>
    </w:p>
    <w:p w14:paraId="43BFB422" w14:textId="77777777" w:rsidR="002B0496" w:rsidRPr="002B0496" w:rsidRDefault="002B0496" w:rsidP="00BD265E">
      <w:pPr>
        <w:pStyle w:val="ListParagraph"/>
        <w:ind w:left="1080"/>
        <w:jc w:val="both"/>
        <w:rPr>
          <w:b/>
          <w:bCs/>
        </w:rPr>
      </w:pPr>
    </w:p>
    <w:p w14:paraId="3C73A91D" w14:textId="204847E1" w:rsidR="002B0496" w:rsidRDefault="002B0496" w:rsidP="00BD265E">
      <w:pPr>
        <w:pStyle w:val="ListParagraph"/>
        <w:numPr>
          <w:ilvl w:val="1"/>
          <w:numId w:val="2"/>
        </w:numPr>
        <w:ind w:left="1080"/>
        <w:jc w:val="both"/>
        <w:rPr>
          <w:b/>
          <w:bCs/>
        </w:rPr>
      </w:pPr>
      <w:r>
        <w:rPr>
          <w:b/>
          <w:bCs/>
        </w:rPr>
        <w:t>Deaths</w:t>
      </w:r>
    </w:p>
    <w:p w14:paraId="100C8A7B" w14:textId="77777777" w:rsidR="002B0496" w:rsidRDefault="002B0496" w:rsidP="00BD265E">
      <w:pPr>
        <w:pStyle w:val="ListParagraph"/>
        <w:ind w:left="1080"/>
        <w:jc w:val="both"/>
      </w:pPr>
      <w:r>
        <w:t xml:space="preserve">Deaths due to most causes are handled by specific ‘disease </w:t>
      </w:r>
      <w:proofErr w:type="gramStart"/>
      <w:r>
        <w:t>modules’</w:t>
      </w:r>
      <w:proofErr w:type="gramEnd"/>
      <w:r>
        <w:t xml:space="preserve">. When a disease module causes the death of an individual, they enact the </w:t>
      </w:r>
      <w:proofErr w:type="spellStart"/>
      <w:r w:rsidRPr="002B0496">
        <w:rPr>
          <w:i/>
          <w:iCs/>
        </w:rPr>
        <w:t>InstantaneousDeath</w:t>
      </w:r>
      <w:proofErr w:type="spellEnd"/>
      <w:r>
        <w:t xml:space="preserve"> event, which logs the death. </w:t>
      </w:r>
    </w:p>
    <w:p w14:paraId="4C293B51" w14:textId="77777777" w:rsidR="002B0496" w:rsidRDefault="002B0496" w:rsidP="00BD265E">
      <w:pPr>
        <w:jc w:val="both"/>
      </w:pPr>
    </w:p>
    <w:p w14:paraId="64D579D3" w14:textId="39210F4E" w:rsidR="002B0496" w:rsidRDefault="002B0496" w:rsidP="00BD265E">
      <w:pPr>
        <w:pStyle w:val="ListParagraph"/>
        <w:ind w:left="1080"/>
        <w:jc w:val="both"/>
      </w:pPr>
      <w:r>
        <w:t>However, during development a rate of all-cause mortality is applied in order that the correct population structure is maintained. This is implemented using a monthly poll (</w:t>
      </w:r>
      <w:r w:rsidRPr="002B0496">
        <w:rPr>
          <w:i/>
          <w:iCs/>
        </w:rPr>
        <w:t>‘</w:t>
      </w:r>
      <w:proofErr w:type="spellStart"/>
      <w:r w:rsidRPr="002B0496">
        <w:rPr>
          <w:i/>
          <w:iCs/>
        </w:rPr>
        <w:t>OtherDeathPoll</w:t>
      </w:r>
      <w:proofErr w:type="spellEnd"/>
      <w:r w:rsidRPr="002B0496">
        <w:rPr>
          <w:i/>
          <w:iCs/>
        </w:rPr>
        <w:t xml:space="preserve">’) </w:t>
      </w:r>
      <w:r>
        <w:t>which causes death and logs the cause as ‘Other’. The risk of dying from all causes are taken from the World Population Prospect 2019 [2].</w:t>
      </w:r>
    </w:p>
    <w:p w14:paraId="6CAF86F7" w14:textId="77777777" w:rsidR="002B0496" w:rsidRDefault="002B0496" w:rsidP="00BD265E">
      <w:pPr>
        <w:pStyle w:val="ListParagraph"/>
        <w:ind w:left="1080"/>
        <w:jc w:val="both"/>
      </w:pPr>
    </w:p>
    <w:p w14:paraId="5552DBEE" w14:textId="69A206CF" w:rsidR="00BD265E" w:rsidRDefault="002B0496" w:rsidP="00BD265E">
      <w:pPr>
        <w:pStyle w:val="ListParagraph"/>
        <w:ind w:left="1080"/>
        <w:jc w:val="both"/>
      </w:pPr>
      <w:r>
        <w:t xml:space="preserve">When all disease modules are implemented, this functionality will modified so as to represent only that risk of death that is not captured by any of the disease </w:t>
      </w:r>
      <w:proofErr w:type="gramStart"/>
      <w:r>
        <w:t>modules.*</w:t>
      </w:r>
      <w:proofErr w:type="gramEnd"/>
    </w:p>
    <w:p w14:paraId="07EC1FA0" w14:textId="77777777" w:rsidR="00BD265E" w:rsidRDefault="00BD265E" w:rsidP="00BD265E">
      <w:pPr>
        <w:pStyle w:val="ListParagraph"/>
        <w:ind w:left="1080"/>
        <w:jc w:val="both"/>
      </w:pPr>
    </w:p>
    <w:p w14:paraId="0FFA4A99" w14:textId="77777777" w:rsidR="002B0496" w:rsidRDefault="002B0496" w:rsidP="002B0496">
      <w:pPr>
        <w:pStyle w:val="ListParagraph"/>
        <w:ind w:left="1440"/>
        <w:jc w:val="both"/>
        <w:rPr>
          <w:b/>
          <w:bCs/>
        </w:rPr>
      </w:pPr>
    </w:p>
    <w:p w14:paraId="0DF584C9" w14:textId="73C633FD" w:rsidR="00627CFB" w:rsidRDefault="00627CFB" w:rsidP="002B0496">
      <w:pPr>
        <w:jc w:val="both"/>
      </w:pPr>
    </w:p>
    <w:p w14:paraId="47910D2C" w14:textId="77777777" w:rsidR="00FE11B6" w:rsidRDefault="00627CFB" w:rsidP="00FE11B6">
      <w:pPr>
        <w:pStyle w:val="ListParagraph"/>
        <w:numPr>
          <w:ilvl w:val="0"/>
          <w:numId w:val="2"/>
        </w:numPr>
        <w:jc w:val="both"/>
        <w:rPr>
          <w:b/>
          <w:bCs/>
        </w:rPr>
      </w:pPr>
      <w:r w:rsidRPr="00627CFB">
        <w:rPr>
          <w:b/>
          <w:bCs/>
        </w:rPr>
        <w:t>Calibration</w:t>
      </w:r>
    </w:p>
    <w:p w14:paraId="135A9D60" w14:textId="346F8983" w:rsidR="00BD265E" w:rsidRPr="00FE11B6" w:rsidRDefault="00BD265E" w:rsidP="00FE11B6">
      <w:pPr>
        <w:pStyle w:val="ListParagraph"/>
        <w:jc w:val="both"/>
        <w:rPr>
          <w:b/>
          <w:bCs/>
        </w:rPr>
      </w:pPr>
      <w:r w:rsidRPr="009C67A4">
        <w:t xml:space="preserve">Before comparison to any data there is </w:t>
      </w:r>
      <w:r w:rsidR="00DB19DC">
        <w:t>s</w:t>
      </w:r>
      <w:r w:rsidRPr="009C67A4">
        <w:t xml:space="preserve">caling procedure whereby </w:t>
      </w:r>
      <w:r w:rsidR="009C67A4" w:rsidRPr="009C67A4">
        <w:t>all outputs from the model that are in the form of counts of events or persons are scaled by a factor that is equal to the ratio of total population size of Malawi in the 2018 census [1] and the total model population size in the same year.</w:t>
      </w:r>
    </w:p>
    <w:p w14:paraId="44F53B5A" w14:textId="22B33B89" w:rsidR="00BD265E" w:rsidRDefault="00BD265E" w:rsidP="00BD265E">
      <w:pPr>
        <w:ind w:left="720"/>
        <w:jc w:val="both"/>
      </w:pPr>
    </w:p>
    <w:p w14:paraId="50FFCC7D" w14:textId="119A2CBF" w:rsidR="00FE11B6" w:rsidRDefault="00FE11B6" w:rsidP="00FE11B6">
      <w:pPr>
        <w:ind w:left="720"/>
        <w:jc w:val="both"/>
      </w:pPr>
      <w:r>
        <w:t>The output of the model is compared against the following data:</w:t>
      </w:r>
    </w:p>
    <w:p w14:paraId="36BCE6C1" w14:textId="3C81C5CD" w:rsidR="00FE11B6" w:rsidRDefault="00FE11B6" w:rsidP="00FE11B6">
      <w:pPr>
        <w:pStyle w:val="ListParagraph"/>
        <w:numPr>
          <w:ilvl w:val="0"/>
          <w:numId w:val="3"/>
        </w:numPr>
        <w:jc w:val="both"/>
      </w:pPr>
      <w:r>
        <w:t xml:space="preserve">Population </w:t>
      </w:r>
      <w:r w:rsidR="002D2DE3">
        <w:t>s</w:t>
      </w:r>
      <w:r>
        <w:t>ize</w:t>
      </w:r>
      <w:r w:rsidR="002D2DE3">
        <w:t xml:space="preserve"> </w:t>
      </w:r>
    </w:p>
    <w:p w14:paraId="2B870DF5" w14:textId="0D7F5039" w:rsidR="0081687F" w:rsidRDefault="00FE11B6" w:rsidP="005D3593">
      <w:pPr>
        <w:pStyle w:val="ListParagraph"/>
        <w:numPr>
          <w:ilvl w:val="1"/>
          <w:numId w:val="3"/>
        </w:numPr>
        <w:jc w:val="both"/>
      </w:pPr>
      <w:r>
        <w:t>Census 201</w:t>
      </w:r>
      <w:r w:rsidR="0081687F">
        <w:t>8</w:t>
      </w:r>
      <w:r>
        <w:t xml:space="preserve"> in Malawi [1]</w:t>
      </w:r>
      <w:r w:rsidR="002D2DE3">
        <w:t xml:space="preserve"> – total and age/sex/district composition</w:t>
      </w:r>
      <w:r w:rsidR="0081687F">
        <w:t xml:space="preserve">. </w:t>
      </w:r>
    </w:p>
    <w:p w14:paraId="61B461A7" w14:textId="3FECA80E" w:rsidR="00FE11B6" w:rsidRDefault="00FE11B6" w:rsidP="00FE11B6">
      <w:pPr>
        <w:pStyle w:val="ListParagraph"/>
        <w:numPr>
          <w:ilvl w:val="1"/>
          <w:numId w:val="3"/>
        </w:numPr>
        <w:jc w:val="both"/>
      </w:pPr>
      <w:r>
        <w:t>WPP estimates [2]</w:t>
      </w:r>
      <w:r w:rsidR="002D2DE3">
        <w:t xml:space="preserve"> – total and breakdown by age/sex and future trend</w:t>
      </w:r>
    </w:p>
    <w:p w14:paraId="59C0FDB7" w14:textId="77777777" w:rsidR="002D2DE3" w:rsidRDefault="002D2DE3" w:rsidP="00DB19DC">
      <w:pPr>
        <w:jc w:val="both"/>
      </w:pPr>
    </w:p>
    <w:p w14:paraId="77AA0F37" w14:textId="66B575AB" w:rsidR="002D2DE3" w:rsidRDefault="002D2DE3" w:rsidP="00FE11B6">
      <w:pPr>
        <w:pStyle w:val="ListParagraph"/>
        <w:numPr>
          <w:ilvl w:val="0"/>
          <w:numId w:val="3"/>
        </w:numPr>
        <w:jc w:val="both"/>
      </w:pPr>
      <w:r>
        <w:t>Number of births over time and breakdown by district</w:t>
      </w:r>
    </w:p>
    <w:p w14:paraId="40E72652" w14:textId="6D0B6970" w:rsidR="002D2DE3" w:rsidRDefault="002D2DE3" w:rsidP="002D2DE3">
      <w:pPr>
        <w:pStyle w:val="ListParagraph"/>
        <w:numPr>
          <w:ilvl w:val="1"/>
          <w:numId w:val="3"/>
        </w:numPr>
        <w:jc w:val="both"/>
      </w:pPr>
      <w:r>
        <w:t>Census 2019 in Malawi [1] – total and breakdown by district</w:t>
      </w:r>
    </w:p>
    <w:p w14:paraId="24CCE19F" w14:textId="5F7578C0" w:rsidR="002D2DE3" w:rsidRDefault="002D2DE3" w:rsidP="002D2DE3">
      <w:pPr>
        <w:pStyle w:val="ListParagraph"/>
        <w:numPr>
          <w:ilvl w:val="1"/>
          <w:numId w:val="3"/>
        </w:numPr>
        <w:jc w:val="both"/>
      </w:pPr>
      <w:r>
        <w:t>WPP estimates [2] – total and future trend</w:t>
      </w:r>
    </w:p>
    <w:p w14:paraId="698CA7C3" w14:textId="77777777" w:rsidR="002D2DE3" w:rsidRDefault="002D2DE3" w:rsidP="002D2DE3">
      <w:pPr>
        <w:pStyle w:val="ListParagraph"/>
        <w:ind w:left="2160"/>
        <w:jc w:val="both"/>
      </w:pPr>
    </w:p>
    <w:p w14:paraId="09829207" w14:textId="01993EED" w:rsidR="00FE11B6" w:rsidRDefault="002D2DE3" w:rsidP="00FE11B6">
      <w:pPr>
        <w:pStyle w:val="ListParagraph"/>
        <w:numPr>
          <w:ilvl w:val="0"/>
          <w:numId w:val="3"/>
        </w:numPr>
        <w:jc w:val="both"/>
      </w:pPr>
      <w:r>
        <w:t>Number of deaths</w:t>
      </w:r>
    </w:p>
    <w:p w14:paraId="6F0FAB83" w14:textId="45192CD1" w:rsidR="002D2DE3" w:rsidRDefault="002D2DE3" w:rsidP="002D2DE3">
      <w:pPr>
        <w:pStyle w:val="ListParagraph"/>
        <w:numPr>
          <w:ilvl w:val="1"/>
          <w:numId w:val="3"/>
        </w:numPr>
        <w:jc w:val="both"/>
      </w:pPr>
      <w:r>
        <w:t xml:space="preserve">Malawi Census [1] </w:t>
      </w:r>
      <w:r w:rsidR="008E7767">
        <w:t>–</w:t>
      </w:r>
      <w:r>
        <w:t xml:space="preserve"> </w:t>
      </w:r>
      <w:r w:rsidR="008E7767">
        <w:t>breakdown by age/sex/region</w:t>
      </w:r>
    </w:p>
    <w:p w14:paraId="2AE9BF0D" w14:textId="75263089" w:rsidR="002D2DE3" w:rsidRDefault="002D2DE3" w:rsidP="002D2DE3">
      <w:pPr>
        <w:pStyle w:val="ListParagraph"/>
        <w:numPr>
          <w:ilvl w:val="1"/>
          <w:numId w:val="3"/>
        </w:numPr>
        <w:jc w:val="both"/>
      </w:pPr>
      <w:r>
        <w:t>WPP estimate [2] – total and breakdown by age/sex and future trend</w:t>
      </w:r>
    </w:p>
    <w:p w14:paraId="3F9447B0" w14:textId="7DEA9DEA" w:rsidR="002D2DE3" w:rsidRDefault="002D2DE3" w:rsidP="002D2DE3">
      <w:pPr>
        <w:pStyle w:val="ListParagraph"/>
        <w:numPr>
          <w:ilvl w:val="1"/>
          <w:numId w:val="3"/>
        </w:numPr>
        <w:jc w:val="both"/>
      </w:pPr>
      <w:r>
        <w:t xml:space="preserve">GBD estimates [3] – total and breakdown by age/sex and future trend </w:t>
      </w:r>
    </w:p>
    <w:p w14:paraId="5DD8BE80" w14:textId="77777777" w:rsidR="00FE11B6" w:rsidRDefault="00FE11B6" w:rsidP="00FE11B6">
      <w:pPr>
        <w:ind w:left="720"/>
        <w:jc w:val="both"/>
      </w:pPr>
    </w:p>
    <w:p w14:paraId="17C2B69F" w14:textId="77777777" w:rsidR="00BD265E" w:rsidRDefault="00BD265E" w:rsidP="00283EDA">
      <w:pPr>
        <w:jc w:val="both"/>
      </w:pPr>
    </w:p>
    <w:p w14:paraId="583B27FD" w14:textId="19DDB38B" w:rsidR="007F2B0C" w:rsidRDefault="007F2B0C" w:rsidP="00BD265E">
      <w:pPr>
        <w:ind w:left="360"/>
        <w:jc w:val="both"/>
      </w:pPr>
    </w:p>
    <w:p w14:paraId="693D97E3" w14:textId="382DF518" w:rsidR="002B0496" w:rsidRPr="002B0496" w:rsidRDefault="002B0496" w:rsidP="002B0496">
      <w:pPr>
        <w:jc w:val="both"/>
        <w:rPr>
          <w:u w:val="single"/>
        </w:rPr>
      </w:pPr>
      <w:r w:rsidRPr="002B0496">
        <w:rPr>
          <w:u w:val="single"/>
        </w:rPr>
        <w:t>References</w:t>
      </w:r>
    </w:p>
    <w:p w14:paraId="3CA0E914" w14:textId="61F69169" w:rsidR="002B0496" w:rsidRDefault="002B0496" w:rsidP="00B829F1">
      <w:r>
        <w:t xml:space="preserve">[1] </w:t>
      </w:r>
      <w:r w:rsidR="00B829F1">
        <w:t xml:space="preserve">2019 Malawi Population and House Census Main Report. National Statistical Office. May 2019, Lilongwe. (Available from: </w:t>
      </w:r>
      <w:hyperlink r:id="rId6" w:history="1">
        <w:r w:rsidR="00B829F1" w:rsidRPr="00F32E17">
          <w:rPr>
            <w:rStyle w:val="Hyperlink"/>
          </w:rPr>
          <w:t>http://www.nsomalawi.mw/index.php?option=com_content&amp;view=article&amp;id=226&amp;Itemid=</w:t>
        </w:r>
      </w:hyperlink>
      <w:r w:rsidR="00AF1690">
        <w:t>, last accessed: 6-11-19</w:t>
      </w:r>
      <w:r w:rsidR="00B829F1">
        <w:t>)</w:t>
      </w:r>
    </w:p>
    <w:p w14:paraId="6984C39D" w14:textId="77777777" w:rsidR="002B0496" w:rsidRDefault="002B0496" w:rsidP="002B0496">
      <w:pPr>
        <w:jc w:val="both"/>
      </w:pPr>
    </w:p>
    <w:p w14:paraId="562074FB" w14:textId="0132BB96" w:rsidR="002B0496" w:rsidRDefault="002B0496" w:rsidP="002B0496">
      <w:pPr>
        <w:jc w:val="both"/>
      </w:pPr>
      <w:r>
        <w:t xml:space="preserve">[2] </w:t>
      </w:r>
      <w:r w:rsidR="00B829F1">
        <w:t xml:space="preserve">World Population Prospects </w:t>
      </w:r>
      <w:r w:rsidR="00AF1690">
        <w:t>2019</w:t>
      </w:r>
      <w:r w:rsidR="00B829F1">
        <w:t xml:space="preserve">. </w:t>
      </w:r>
      <w:r w:rsidR="00AF1690">
        <w:t xml:space="preserve">United Nations Department of Economic and Social Affairs. </w:t>
      </w:r>
      <w:r w:rsidR="00B829F1">
        <w:t xml:space="preserve">(Available from: </w:t>
      </w:r>
      <w:hyperlink r:id="rId7" w:history="1">
        <w:r w:rsidR="00B829F1" w:rsidRPr="00F32E17">
          <w:rPr>
            <w:rStyle w:val="Hyperlink"/>
          </w:rPr>
          <w:t>https://population.un.org/wpp/Download/Standard/Population/</w:t>
        </w:r>
      </w:hyperlink>
      <w:r w:rsidR="00AF1690">
        <w:t>, last accessed: 12-11-10</w:t>
      </w:r>
      <w:r w:rsidR="00B829F1">
        <w:t>)</w:t>
      </w:r>
    </w:p>
    <w:p w14:paraId="086C92D7" w14:textId="32003D14" w:rsidR="007F2B0C" w:rsidRDefault="007F2B0C" w:rsidP="002B0496">
      <w:pPr>
        <w:jc w:val="both"/>
      </w:pPr>
    </w:p>
    <w:p w14:paraId="4E340819" w14:textId="03395A3B" w:rsidR="002D2DE3" w:rsidRDefault="002D2DE3" w:rsidP="00AF1690">
      <w:pPr>
        <w:jc w:val="both"/>
      </w:pPr>
      <w:r>
        <w:t xml:space="preserve">[3] </w:t>
      </w:r>
      <w:r w:rsidR="00AF1690">
        <w:t xml:space="preserve">Global Burden of Disease Collaborative Network. Global Burden of Disease Study 2017 (GBD 2017) Results. Seattle, United States: Institute for Health Metrics and Evaluation (IHME), 2018. (Available from </w:t>
      </w:r>
      <w:hyperlink r:id="rId8" w:history="1">
        <w:r w:rsidR="00AF1690" w:rsidRPr="00F32E17">
          <w:rPr>
            <w:rStyle w:val="Hyperlink"/>
          </w:rPr>
          <w:t>http://ghdx.healthdata.org/gbd-results-tool</w:t>
        </w:r>
      </w:hyperlink>
      <w:r w:rsidR="00AF1690">
        <w:t>, last accessed: 12-11-19)</w:t>
      </w:r>
    </w:p>
    <w:p w14:paraId="512C609B" w14:textId="3BFA6E72" w:rsidR="007F2B0C" w:rsidRDefault="007F2B0C" w:rsidP="002B0496">
      <w:pPr>
        <w:jc w:val="both"/>
      </w:pPr>
    </w:p>
    <w:p w14:paraId="116BE841" w14:textId="73B9BB1C" w:rsidR="007F2B0C" w:rsidRDefault="007F2B0C" w:rsidP="002B0496">
      <w:pPr>
        <w:jc w:val="both"/>
      </w:pPr>
    </w:p>
    <w:p w14:paraId="3324DB7C" w14:textId="2804FEB6" w:rsidR="00627CFB" w:rsidRPr="00627CFB" w:rsidRDefault="00627CFB" w:rsidP="002B0496">
      <w:pPr>
        <w:jc w:val="both"/>
        <w:rPr>
          <w:u w:val="single"/>
        </w:rPr>
      </w:pPr>
      <w:r w:rsidRPr="00627CFB">
        <w:rPr>
          <w:u w:val="single"/>
        </w:rPr>
        <w:t>Known Limitations and Action Items</w:t>
      </w:r>
    </w:p>
    <w:p w14:paraId="4CE9B8C9" w14:textId="10240661" w:rsidR="00627CFB" w:rsidRDefault="00627CFB" w:rsidP="002B0496">
      <w:pPr>
        <w:jc w:val="both"/>
      </w:pPr>
      <w:r>
        <w:t>* When developing this new function, use GBD data to specify which causes of death are to be included or not.</w:t>
      </w:r>
    </w:p>
    <w:p w14:paraId="5115720E" w14:textId="683564CF" w:rsidR="00BD265E" w:rsidRDefault="00BD265E" w:rsidP="002B0496">
      <w:pPr>
        <w:jc w:val="both"/>
      </w:pPr>
      <w:r>
        <w:t>** In new version of logger, let the output be notified as to whether they should be subject to scaling.</w:t>
      </w:r>
    </w:p>
    <w:p w14:paraId="63694BB0" w14:textId="179FC6D7" w:rsidR="005D3593" w:rsidRDefault="005D3593" w:rsidP="002B0496">
      <w:pPr>
        <w:jc w:val="both"/>
      </w:pPr>
    </w:p>
    <w:p w14:paraId="679BDCF3" w14:textId="617854FB" w:rsidR="005D3593" w:rsidRDefault="005D3593">
      <w:r>
        <w:br w:type="page"/>
      </w:r>
    </w:p>
    <w:p w14:paraId="606100F1" w14:textId="77777777" w:rsidR="005D3593" w:rsidRDefault="005D3593" w:rsidP="002B0496">
      <w:pPr>
        <w:jc w:val="both"/>
      </w:pPr>
    </w:p>
    <w:p w14:paraId="0D1017C2" w14:textId="3D229DA0" w:rsidR="005D3593" w:rsidRDefault="005D3593" w:rsidP="002B0496">
      <w:pPr>
        <w:jc w:val="both"/>
        <w:rPr>
          <w:u w:val="single"/>
        </w:rPr>
      </w:pPr>
      <w:r w:rsidRPr="00DB19DC">
        <w:rPr>
          <w:u w:val="single"/>
        </w:rPr>
        <w:t>Appendix: Current Calibrations</w:t>
      </w:r>
    </w:p>
    <w:p w14:paraId="5432BA77" w14:textId="690A1236" w:rsidR="000346CC" w:rsidRDefault="000346CC" w:rsidP="002B0496">
      <w:pPr>
        <w:jc w:val="both"/>
      </w:pPr>
      <w:r>
        <w:rPr>
          <w:noProof/>
        </w:rPr>
        <w:lastRenderedPageBreak/>
        <w:drawing>
          <wp:inline distT="0" distB="0" distL="0" distR="0" wp14:anchorId="0EA8E5D4" wp14:editId="0C2E8905">
            <wp:extent cx="5727700" cy="4298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rths_Over_Time___2019_12_10.pdf"/>
                    <pic:cNvPicPr/>
                  </pic:nvPicPr>
                  <pic:blipFill>
                    <a:blip r:embed="rId9">
                      <a:extLst>
                        <a:ext uri="{28A0092B-C50C-407E-A947-70E740481C1C}">
                          <a14:useLocalDpi xmlns:a14="http://schemas.microsoft.com/office/drawing/2010/main" val="0"/>
                        </a:ext>
                      </a:extLst>
                    </a:blip>
                    <a:stretch>
                      <a:fillRect/>
                    </a:stretch>
                  </pic:blipFill>
                  <pic:spPr>
                    <a:xfrm>
                      <a:off x="0" y="0"/>
                      <a:ext cx="5727700" cy="4298950"/>
                    </a:xfrm>
                    <a:prstGeom prst="rect">
                      <a:avLst/>
                    </a:prstGeom>
                  </pic:spPr>
                </pic:pic>
              </a:graphicData>
            </a:graphic>
          </wp:inline>
        </w:drawing>
      </w:r>
      <w:r>
        <w:rPr>
          <w:noProof/>
        </w:rPr>
        <w:drawing>
          <wp:inline distT="0" distB="0" distL="0" distR="0" wp14:anchorId="6FAB193E" wp14:editId="3E21A9AF">
            <wp:extent cx="5727700" cy="4298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ths_By_Age___2019_12_10.pdf"/>
                    <pic:cNvPicPr/>
                  </pic:nvPicPr>
                  <pic:blipFill>
                    <a:blip r:embed="rId10">
                      <a:extLst>
                        <a:ext uri="{28A0092B-C50C-407E-A947-70E740481C1C}">
                          <a14:useLocalDpi xmlns:a14="http://schemas.microsoft.com/office/drawing/2010/main" val="0"/>
                        </a:ext>
                      </a:extLst>
                    </a:blip>
                    <a:stretch>
                      <a:fillRect/>
                    </a:stretch>
                  </pic:blipFill>
                  <pic:spPr>
                    <a:xfrm>
                      <a:off x="0" y="0"/>
                      <a:ext cx="5727700" cy="4298950"/>
                    </a:xfrm>
                    <a:prstGeom prst="rect">
                      <a:avLst/>
                    </a:prstGeom>
                  </pic:spPr>
                </pic:pic>
              </a:graphicData>
            </a:graphic>
          </wp:inline>
        </w:drawing>
      </w:r>
      <w:r>
        <w:rPr>
          <w:noProof/>
        </w:rPr>
        <w:lastRenderedPageBreak/>
        <w:drawing>
          <wp:inline distT="0" distB="0" distL="0" distR="0" wp14:anchorId="3B048032" wp14:editId="687CE4ED">
            <wp:extent cx="5727700" cy="4298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aths_Over_Time___2019_12_10.pdf"/>
                    <pic:cNvPicPr/>
                  </pic:nvPicPr>
                  <pic:blipFill>
                    <a:blip r:embed="rId11">
                      <a:extLst>
                        <a:ext uri="{28A0092B-C50C-407E-A947-70E740481C1C}">
                          <a14:useLocalDpi xmlns:a14="http://schemas.microsoft.com/office/drawing/2010/main" val="0"/>
                        </a:ext>
                      </a:extLst>
                    </a:blip>
                    <a:stretch>
                      <a:fillRect/>
                    </a:stretch>
                  </pic:blipFill>
                  <pic:spPr>
                    <a:xfrm>
                      <a:off x="0" y="0"/>
                      <a:ext cx="5727700" cy="4298950"/>
                    </a:xfrm>
                    <a:prstGeom prst="rect">
                      <a:avLst/>
                    </a:prstGeom>
                  </pic:spPr>
                </pic:pic>
              </a:graphicData>
            </a:graphic>
          </wp:inline>
        </w:drawing>
      </w:r>
      <w:r>
        <w:rPr>
          <w:noProof/>
        </w:rPr>
        <w:drawing>
          <wp:inline distT="0" distB="0" distL="0" distR="0" wp14:anchorId="30A8D5BA" wp14:editId="4A87F9D3">
            <wp:extent cx="5727700" cy="4298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p_Over_Time__2019_12_10.pdf"/>
                    <pic:cNvPicPr/>
                  </pic:nvPicPr>
                  <pic:blipFill>
                    <a:blip r:embed="rId12">
                      <a:extLst>
                        <a:ext uri="{28A0092B-C50C-407E-A947-70E740481C1C}">
                          <a14:useLocalDpi xmlns:a14="http://schemas.microsoft.com/office/drawing/2010/main" val="0"/>
                        </a:ext>
                      </a:extLst>
                    </a:blip>
                    <a:stretch>
                      <a:fillRect/>
                    </a:stretch>
                  </pic:blipFill>
                  <pic:spPr>
                    <a:xfrm>
                      <a:off x="0" y="0"/>
                      <a:ext cx="5727700" cy="4298950"/>
                    </a:xfrm>
                    <a:prstGeom prst="rect">
                      <a:avLst/>
                    </a:prstGeom>
                  </pic:spPr>
                </pic:pic>
              </a:graphicData>
            </a:graphic>
          </wp:inline>
        </w:drawing>
      </w:r>
      <w:r>
        <w:rPr>
          <w:noProof/>
        </w:rPr>
        <w:lastRenderedPageBreak/>
        <w:drawing>
          <wp:inline distT="0" distB="0" distL="0" distR="0" wp14:anchorId="42699D06" wp14:editId="03B71188">
            <wp:extent cx="5727700" cy="42989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p_Size_2030__2019_12_10.pdf"/>
                    <pic:cNvPicPr/>
                  </pic:nvPicPr>
                  <pic:blipFill>
                    <a:blip r:embed="rId13">
                      <a:extLst>
                        <a:ext uri="{28A0092B-C50C-407E-A947-70E740481C1C}">
                          <a14:useLocalDpi xmlns:a14="http://schemas.microsoft.com/office/drawing/2010/main" val="0"/>
                        </a:ext>
                      </a:extLst>
                    </a:blip>
                    <a:stretch>
                      <a:fillRect/>
                    </a:stretch>
                  </pic:blipFill>
                  <pic:spPr>
                    <a:xfrm>
                      <a:off x="0" y="0"/>
                      <a:ext cx="5727700" cy="4298950"/>
                    </a:xfrm>
                    <a:prstGeom prst="rect">
                      <a:avLst/>
                    </a:prstGeom>
                  </pic:spPr>
                </pic:pic>
              </a:graphicData>
            </a:graphic>
          </wp:inline>
        </w:drawing>
      </w:r>
      <w:r>
        <w:rPr>
          <w:noProof/>
        </w:rPr>
        <w:drawing>
          <wp:inline distT="0" distB="0" distL="0" distR="0" wp14:anchorId="717E1A26" wp14:editId="66D4FBC4">
            <wp:extent cx="5727700" cy="429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p_Size_2018__2019_12_10.pdf"/>
                    <pic:cNvPicPr/>
                  </pic:nvPicPr>
                  <pic:blipFill>
                    <a:blip r:embed="rId14">
                      <a:extLst>
                        <a:ext uri="{28A0092B-C50C-407E-A947-70E740481C1C}">
                          <a14:useLocalDpi xmlns:a14="http://schemas.microsoft.com/office/drawing/2010/main" val="0"/>
                        </a:ext>
                      </a:extLst>
                    </a:blip>
                    <a:stretch>
                      <a:fillRect/>
                    </a:stretch>
                  </pic:blipFill>
                  <pic:spPr>
                    <a:xfrm>
                      <a:off x="0" y="0"/>
                      <a:ext cx="5727700" cy="4298950"/>
                    </a:xfrm>
                    <a:prstGeom prst="rect">
                      <a:avLst/>
                    </a:prstGeom>
                  </pic:spPr>
                </pic:pic>
              </a:graphicData>
            </a:graphic>
          </wp:inline>
        </w:drawing>
      </w:r>
    </w:p>
    <w:sectPr w:rsidR="000346CC" w:rsidSect="009F60F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C449B"/>
    <w:multiLevelType w:val="hybridMultilevel"/>
    <w:tmpl w:val="A7028C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F78DA"/>
    <w:multiLevelType w:val="hybridMultilevel"/>
    <w:tmpl w:val="8DDCA7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02CBB"/>
    <w:multiLevelType w:val="hybridMultilevel"/>
    <w:tmpl w:val="8108A7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0C"/>
    <w:rsid w:val="00001EC5"/>
    <w:rsid w:val="000346CC"/>
    <w:rsid w:val="00140EEE"/>
    <w:rsid w:val="001B484D"/>
    <w:rsid w:val="00283EDA"/>
    <w:rsid w:val="002A6B6A"/>
    <w:rsid w:val="002B0496"/>
    <w:rsid w:val="002D2DE3"/>
    <w:rsid w:val="002E3656"/>
    <w:rsid w:val="0030239D"/>
    <w:rsid w:val="003A08D5"/>
    <w:rsid w:val="003D4205"/>
    <w:rsid w:val="0044672C"/>
    <w:rsid w:val="00450166"/>
    <w:rsid w:val="004C1CB9"/>
    <w:rsid w:val="005561F9"/>
    <w:rsid w:val="005C4CC8"/>
    <w:rsid w:val="005D3593"/>
    <w:rsid w:val="00613073"/>
    <w:rsid w:val="006210A1"/>
    <w:rsid w:val="00627CFB"/>
    <w:rsid w:val="00716571"/>
    <w:rsid w:val="007F2B0C"/>
    <w:rsid w:val="0081687F"/>
    <w:rsid w:val="008A0C97"/>
    <w:rsid w:val="008E7767"/>
    <w:rsid w:val="008F4E7F"/>
    <w:rsid w:val="009A6457"/>
    <w:rsid w:val="009B6CDC"/>
    <w:rsid w:val="009C0F5F"/>
    <w:rsid w:val="009C67A4"/>
    <w:rsid w:val="009E6BCA"/>
    <w:rsid w:val="009F60FD"/>
    <w:rsid w:val="00AC7941"/>
    <w:rsid w:val="00AF1690"/>
    <w:rsid w:val="00B670E8"/>
    <w:rsid w:val="00B829F1"/>
    <w:rsid w:val="00B95889"/>
    <w:rsid w:val="00BB0739"/>
    <w:rsid w:val="00BD265E"/>
    <w:rsid w:val="00BF25DD"/>
    <w:rsid w:val="00C63A4C"/>
    <w:rsid w:val="00D84282"/>
    <w:rsid w:val="00DB19DC"/>
    <w:rsid w:val="00DB1E29"/>
    <w:rsid w:val="00E063A3"/>
    <w:rsid w:val="00E111CE"/>
    <w:rsid w:val="00E66832"/>
    <w:rsid w:val="00E85F04"/>
    <w:rsid w:val="00EF1ADF"/>
    <w:rsid w:val="00FA5228"/>
    <w:rsid w:val="00FA54F5"/>
    <w:rsid w:val="00FC3DBA"/>
    <w:rsid w:val="00FE11B6"/>
    <w:rsid w:val="00FE7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8B6121"/>
  <w14:defaultImageDpi w14:val="32767"/>
  <w15:chartTrackingRefBased/>
  <w15:docId w15:val="{A81290F0-6513-6941-895A-0D9D462A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CFB"/>
    <w:pPr>
      <w:ind w:left="720"/>
      <w:contextualSpacing/>
    </w:pPr>
  </w:style>
  <w:style w:type="character" w:styleId="Hyperlink">
    <w:name w:val="Hyperlink"/>
    <w:basedOn w:val="DefaultParagraphFont"/>
    <w:uiPriority w:val="99"/>
    <w:unhideWhenUsed/>
    <w:rsid w:val="00B829F1"/>
    <w:rPr>
      <w:color w:val="0563C1" w:themeColor="hyperlink"/>
      <w:u w:val="single"/>
    </w:rPr>
  </w:style>
  <w:style w:type="character" w:styleId="UnresolvedMention">
    <w:name w:val="Unresolved Mention"/>
    <w:basedOn w:val="DefaultParagraphFont"/>
    <w:uiPriority w:val="99"/>
    <w:rsid w:val="00B829F1"/>
    <w:rPr>
      <w:color w:val="605E5C"/>
      <w:shd w:val="clear" w:color="auto" w:fill="E1DFDD"/>
    </w:rPr>
  </w:style>
  <w:style w:type="table" w:styleId="TableGrid">
    <w:name w:val="Table Grid"/>
    <w:basedOn w:val="TableNormal"/>
    <w:uiPriority w:val="39"/>
    <w:rsid w:val="00AF1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hdx.healthdata.org/gbd-results-tool" TargetMode="Externa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https://population.un.org/wpp/Download/Standard/Population/"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somalawi.mw/index.php?option=com_content&amp;view=article&amp;id=226&amp;Itemid=" TargetMode="External"/><Relationship Id="rId11" Type="http://schemas.openxmlformats.org/officeDocument/2006/relationships/image" Target="media/image4.e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Hallett, Timothy B</dc:creator>
  <cp:keywords/>
  <dc:description/>
  <cp:lastModifiedBy>Hallett, Timothy B</cp:lastModifiedBy>
  <cp:revision>29</cp:revision>
  <dcterms:created xsi:type="dcterms:W3CDTF">2019-12-07T23:26:00Z</dcterms:created>
  <dcterms:modified xsi:type="dcterms:W3CDTF">2021-05-07T15:56:00Z</dcterms:modified>
</cp:coreProperties>
</file>