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widowControl w:val="0"/>
            <w:tabs>
              <w:tab w:val="right" w:leader="underscor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Undernutrition forms modelled</w:t>
              <w:tab/>
              <w:t xml:space="preserve">2</w:t>
            </w:r>
          </w:hyperlink>
          <w:r w:rsidDel="00000000" w:rsidR="00000000" w:rsidRPr="00000000">
            <w:rPr>
              <w:rtl w:val="0"/>
            </w:rPr>
          </w:r>
        </w:p>
        <w:p w:rsidR="00000000" w:rsidDel="00000000" w:rsidP="00000000" w:rsidRDefault="00000000" w:rsidRPr="00000000" w14:paraId="00000003">
          <w:pPr>
            <w:widowControl w:val="0"/>
            <w:tabs>
              <w:tab w:val="right" w:leader="underscore" w:pos="12000"/>
            </w:tabs>
            <w:spacing w:before="60" w:line="240" w:lineRule="auto"/>
            <w:ind w:firstLine="0"/>
            <w:jc w:val="left"/>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Conceptualisation of stunting model structure</w:t>
              <w:tab/>
              <w:t xml:space="preserve">3</w:t>
            </w:r>
          </w:hyperlink>
          <w:r w:rsidDel="00000000" w:rsidR="00000000" w:rsidRPr="00000000">
            <w:rPr>
              <w:rtl w:val="0"/>
            </w:rPr>
          </w:r>
        </w:p>
        <w:p w:rsidR="00000000" w:rsidDel="00000000" w:rsidP="00000000" w:rsidRDefault="00000000" w:rsidRPr="00000000" w14:paraId="00000004">
          <w:pPr>
            <w:widowControl w:val="0"/>
            <w:tabs>
              <w:tab w:val="right" w:leader="underscor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Summary</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underscor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Module properties</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underscor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Prevalence of stunting at start of simulation</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underscor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Incidence of stunting and disease progression</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underscor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Health System Interactions</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underscor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Parameters of the stunting module</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underscore" w:pos="12000"/>
            </w:tabs>
            <w:spacing w:before="60" w:line="240" w:lineRule="auto"/>
            <w:ind w:firstLine="0"/>
            <w:jc w:val="left"/>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B">
      <w:pPr>
        <w:spacing w:after="160" w:line="259" w:lineRule="auto"/>
        <w:ind w:firstLine="0"/>
        <w:jc w:val="left"/>
        <w:rPr>
          <w:b w:val="1"/>
          <w:color w:val="1f4e79"/>
          <w:sz w:val="25"/>
          <w:szCs w:val="25"/>
          <w:highlight w:val="white"/>
        </w:rPr>
      </w:pPr>
      <w:r w:rsidDel="00000000" w:rsidR="00000000" w:rsidRPr="00000000">
        <w:rPr>
          <w:rtl w:val="0"/>
        </w:rPr>
      </w:r>
    </w:p>
    <w:p w:rsidR="00000000" w:rsidDel="00000000" w:rsidP="00000000" w:rsidRDefault="00000000" w:rsidRPr="00000000" w14:paraId="0000000C">
      <w:pPr>
        <w:spacing w:after="160" w:line="259" w:lineRule="auto"/>
        <w:ind w:firstLine="0"/>
        <w:jc w:val="left"/>
        <w:rPr>
          <w:b w:val="1"/>
          <w:color w:val="1f4e79"/>
          <w:sz w:val="25"/>
          <w:szCs w:val="25"/>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2"/>
        <w:rPr/>
      </w:pPr>
      <w:bookmarkStart w:colFirst="0" w:colLast="0" w:name="_heading=h.tyjcwt" w:id="1"/>
      <w:bookmarkEnd w:id="1"/>
      <w:r w:rsidDel="00000000" w:rsidR="00000000" w:rsidRPr="00000000">
        <w:rPr>
          <w:rtl w:val="0"/>
        </w:rPr>
        <w:t xml:space="preserve">Undernutrition forms modelled</w:t>
      </w:r>
    </w:p>
    <w:p w:rsidR="00000000" w:rsidDel="00000000" w:rsidP="00000000" w:rsidRDefault="00000000" w:rsidRPr="00000000" w14:paraId="0000000E">
      <w:pPr>
        <w:pStyle w:val="Heading3"/>
        <w:rPr/>
      </w:pPr>
      <w:bookmarkStart w:colFirst="0" w:colLast="0" w:name="_heading=h.3dy6vkm" w:id="2"/>
      <w:bookmarkEnd w:id="2"/>
      <w:r w:rsidDel="00000000" w:rsidR="00000000" w:rsidRPr="00000000">
        <w:rPr>
          <w:rtl w:val="0"/>
        </w:rPr>
        <w:t xml:space="preserve">Definition of undernutrition</w:t>
      </w:r>
    </w:p>
    <w:p w:rsidR="00000000" w:rsidDel="00000000" w:rsidP="00000000" w:rsidRDefault="00000000" w:rsidRPr="00000000" w14:paraId="0000000F">
      <w:pPr>
        <w:rPr/>
      </w:pPr>
      <w:r w:rsidDel="00000000" w:rsidR="00000000" w:rsidRPr="00000000">
        <w:rPr>
          <w:rtl w:val="0"/>
        </w:rPr>
        <w:t xml:space="preserve">Undernutrition is defined as insufficient intake of energy and nutrients to meet an individual’s need to maintain good health</w:t>
      </w:r>
      <w:r w:rsidDel="00000000" w:rsidR="00000000" w:rsidRPr="00000000">
        <w:rPr>
          <w:vertAlign w:val="superscript"/>
          <w:rtl w:val="0"/>
        </w:rPr>
        <w:t xml:space="preserve">1</w:t>
      </w:r>
      <w:r w:rsidDel="00000000" w:rsidR="00000000" w:rsidRPr="00000000">
        <w:rPr>
          <w:rtl w:val="0"/>
        </w:rPr>
        <w:t xml:space="preserve">. In the literature, undernutrition and malnutrition are used interchangeably, although, the term malnutrition refers to all forms of deficiencies, excesses, or imbalances in a person’s intake of energy and/or nutrients</w:t>
      </w:r>
      <w:r w:rsidDel="00000000" w:rsidR="00000000" w:rsidRPr="00000000">
        <w:rPr>
          <w:vertAlign w:val="superscript"/>
          <w:rtl w:val="0"/>
        </w:rPr>
        <w:t xml:space="preserve">2</w:t>
      </w:r>
      <w:r w:rsidDel="00000000" w:rsidR="00000000" w:rsidRPr="00000000">
        <w:rPr>
          <w:rtl w:val="0"/>
        </w:rPr>
        <w:t xml:space="preserve">, including undernutrition, micronutrient-related malnutrition, and overnutrition. In Malawi, undernutrition in terms of protein-energy undernutrition and micronutrient deficiencies are considered of public health significance, particularly to the health of children. Overnutrition is modelled in TLO within other NDC modules that pertain to older ages (from 15 years of age onwards).</w:t>
      </w:r>
    </w:p>
    <w:p w:rsidR="00000000" w:rsidDel="00000000" w:rsidP="00000000" w:rsidRDefault="00000000" w:rsidRPr="00000000" w14:paraId="00000010">
      <w:pPr>
        <w:pStyle w:val="Heading3"/>
        <w:rPr/>
      </w:pPr>
      <w:r w:rsidDel="00000000" w:rsidR="00000000" w:rsidRPr="00000000">
        <w:rPr>
          <w:rtl w:val="0"/>
        </w:rPr>
        <w:t xml:space="preserve">Measures of nutritional status</w:t>
      </w:r>
    </w:p>
    <w:p w:rsidR="00000000" w:rsidDel="00000000" w:rsidP="00000000" w:rsidRDefault="00000000" w:rsidRPr="00000000" w14:paraId="00000011">
      <w:pPr>
        <w:rPr/>
      </w:pPr>
      <w:r w:rsidDel="00000000" w:rsidR="00000000" w:rsidRPr="00000000">
        <w:rPr>
          <w:rtl w:val="0"/>
        </w:rPr>
        <w:t xml:space="preserve">There are several indicators used to measure nutritional imbalances resulting in undernutrition. The commonly used anthropometric measures in community studies are weight and height/length in combination with age and gender. These measurements are used to construct indices that are used to describe nutritional status of individuals or populations. The indices used in childhood are weight-for-height Z-score (WHZ), height-for-age Z-score (HAZ) and weight-for-age Z-score (WAZ). A Z-score is a measure of how far an observation is from the population mean as measured in standard deviations. A standard deviation score of a nutritional indicator for an individual = (individual’s value - median value of reference population)/ standard deviation value of reference population. The currently used reference population is the WHO multicentre Growth Reference Study (MGRS).</w:t>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1 - Key definitions of undernutrition</w:t>
      </w:r>
    </w:p>
    <w:tbl>
      <w:tblPr>
        <w:tblStyle w:val="Table1"/>
        <w:tblW w:w="10348.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3539"/>
        <w:gridCol w:w="6809"/>
        <w:tblGridChange w:id="0">
          <w:tblGrid>
            <w:gridCol w:w="3539"/>
            <w:gridCol w:w="6809"/>
          </w:tblGrid>
        </w:tblGridChange>
      </w:tblGrid>
      <w:tr>
        <w:trPr>
          <w:cantSplit w:val="0"/>
          <w:trHeight w:val="310" w:hRule="atLeast"/>
          <w:tblHeader w:val="0"/>
        </w:trPr>
        <w:tc>
          <w:tcPr>
            <w:shd w:fill="c5e0b3"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Terminology</w:t>
            </w:r>
          </w:p>
        </w:tc>
        <w:tc>
          <w:tcPr>
            <w:shd w:fill="c5e0b3"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Definition</w:t>
            </w:r>
          </w:p>
        </w:tc>
      </w:tr>
      <w:tr>
        <w:trPr>
          <w:cantSplit w:val="0"/>
          <w:trHeight w:val="310" w:hRule="atLeast"/>
          <w:tblHeader w:val="0"/>
        </w:trPr>
        <w:tc>
          <w:tcPr>
            <w:shd w:fill="ffffff"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Weight-for-height/length</w:t>
            </w:r>
          </w:p>
        </w:tc>
        <w:tc>
          <w:tcPr>
            <w:shd w:fill="ffffff"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Measure of a child’s weight relative to the weight of a child of the same height or length in a reference population, expressed as a Z-score. Low weight-for-height (WHZ &lt; -2) is known as wasting, the acute form of undernutrition</w:t>
            </w:r>
          </w:p>
        </w:tc>
      </w:tr>
      <w:tr>
        <w:trPr>
          <w:cantSplit w:val="0"/>
          <w:trHeight w:val="310" w:hRule="atLeast"/>
          <w:tblHeader w:val="0"/>
        </w:trPr>
        <w:tc>
          <w:tcPr>
            <w:shd w:fill="ffffff"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Height/length-for-age</w:t>
            </w:r>
          </w:p>
        </w:tc>
        <w:tc>
          <w:tcPr>
            <w:shd w:fill="ffffff"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Measure of a child’s height or length relative to the length or height of a child of the same age in a reference population, expressed as a Z-score. Low height-for-age (HAZ &lt; -2) is known as stunting, a result of chronic or recurrent undernutrition</w:t>
            </w:r>
          </w:p>
        </w:tc>
      </w:tr>
      <w:tr>
        <w:trPr>
          <w:cantSplit w:val="0"/>
          <w:trHeight w:val="310" w:hRule="atLeast"/>
          <w:tblHeader w:val="0"/>
        </w:trPr>
        <w:tc>
          <w:tcPr>
            <w:shd w:fill="ffffff"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Weight-for-age</w:t>
            </w:r>
          </w:p>
        </w:tc>
        <w:tc>
          <w:tcPr>
            <w:shd w:fill="ffffff"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Measure of a child’s weight relative to the weight of a child of the same age in a reference population, expressed as a Z-score. Low weight-for-age (</w:t>
            </w:r>
            <w:r w:rsidDel="00000000" w:rsidR="00000000" w:rsidRPr="00000000">
              <w:rPr>
                <w:sz w:val="21"/>
                <w:szCs w:val="21"/>
                <w:rtl w:val="0"/>
              </w:rPr>
              <w:t xml:space="preserve">WAZ &lt; -2</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is known as underweight</w:t>
            </w:r>
          </w:p>
        </w:tc>
      </w:tr>
      <w:tr>
        <w:trPr>
          <w:cantSplit w:val="0"/>
          <w:trHeight w:val="310" w:hRule="atLeast"/>
          <w:tblHeader w:val="0"/>
        </w:trPr>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wasting</w:t>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weight-for-height Z-score &lt; -2 SD,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(severe wasting </w:t>
            </w:r>
            <w:r w:rsidDel="00000000" w:rsidR="00000000" w:rsidRPr="00000000">
              <w:rPr>
                <w:sz w:val="21"/>
                <w:szCs w:val="21"/>
                <w:rtl w:val="0"/>
              </w:rPr>
              <w:t xml:space="preserve">WHZ &lt; -3</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moderate wasting </w:t>
            </w:r>
            <w:sdt>
              <w:sdtPr>
                <w:tag w:val="goog_rdk_0"/>
              </w:sdtPr>
              <w:sdtContent>
                <w:r w:rsidDel="00000000" w:rsidR="00000000" w:rsidRPr="00000000">
                  <w:rPr>
                    <w:rFonts w:ascii="Arial Unicode MS" w:cs="Arial Unicode MS" w:eastAsia="Arial Unicode MS" w:hAnsi="Arial Unicode MS"/>
                    <w:sz w:val="21"/>
                    <w:szCs w:val="21"/>
                    <w:rtl w:val="0"/>
                  </w:rPr>
                  <w:t xml:space="preserve">-3 ≤ WHZ &lt; -2</w:t>
                </w:r>
              </w:sdtContent>
            </w:sdt>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tc>
      </w:tr>
      <w:tr>
        <w:trPr>
          <w:cantSplit w:val="0"/>
          <w:trHeight w:val="310" w:hRule="atLeast"/>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stunting</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height-for-age Z-score &lt; -2 SD,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(severe stunting HAZ &lt; -3, moderate stunting -3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HAZ &lt; -2)</w:t>
            </w:r>
          </w:p>
        </w:tc>
      </w:tr>
      <w:tr>
        <w:trPr>
          <w:cantSplit w:val="0"/>
          <w:trHeight w:val="310" w:hRule="atLeast"/>
          <w:tblHeader w:val="0"/>
        </w:trP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underweight</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weight-for-age Z-score &lt; -2 SD,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(severe underweight WAZ &lt; -3, moderate underweight -3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WAZ &lt; -</w:t>
            </w:r>
            <w:r w:rsidDel="00000000" w:rsidR="00000000" w:rsidRPr="00000000">
              <w:rPr>
                <w:sz w:val="21"/>
                <w:szCs w:val="21"/>
                <w:rtl w:val="0"/>
              </w:rPr>
              <w:t xml:space="preserve">2</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tc>
      </w:tr>
    </w:tbl>
    <w:p w:rsidR="00000000" w:rsidDel="00000000" w:rsidP="00000000" w:rsidRDefault="00000000" w:rsidRPr="00000000" w14:paraId="00000025">
      <w:pPr>
        <w:rPr>
          <w:highlight w:val="white"/>
        </w:rPr>
      </w:pPr>
      <w:r w:rsidDel="00000000" w:rsidR="00000000" w:rsidRPr="00000000">
        <w:rPr>
          <w:highlight w:val="white"/>
          <w:rtl w:val="0"/>
        </w:rPr>
        <w:t xml:space="preserve"> </w:t>
      </w:r>
    </w:p>
    <w:p w:rsidR="00000000" w:rsidDel="00000000" w:rsidP="00000000" w:rsidRDefault="00000000" w:rsidRPr="00000000" w14:paraId="00000026">
      <w:pPr>
        <w:rPr>
          <w:highlight w:val="white"/>
        </w:rPr>
      </w:pPr>
      <w:r w:rsidDel="00000000" w:rsidR="00000000" w:rsidRPr="00000000">
        <w:rPr>
          <w:highlight w:val="white"/>
          <w:rtl w:val="0"/>
        </w:rPr>
        <w:t xml:space="preserve">The following sections describe the rationale for the model structures of wasting and stunting. As underweight can reflect wasting, stunting, or both, it is difficult to interpret and therefore, not included in the undernutrition modules.</w:t>
      </w:r>
    </w:p>
    <w:p w:rsidR="00000000" w:rsidDel="00000000" w:rsidP="00000000" w:rsidRDefault="00000000" w:rsidRPr="00000000" w14:paraId="00000027">
      <w:pPr>
        <w:rPr>
          <w:highlight w:val="white"/>
        </w:rPr>
      </w:pPr>
      <w:r w:rsidDel="00000000" w:rsidR="00000000" w:rsidRPr="00000000">
        <w:rPr>
          <w:rtl w:val="0"/>
        </w:rPr>
      </w:r>
    </w:p>
    <w:p w:rsidR="00000000" w:rsidDel="00000000" w:rsidP="00000000" w:rsidRDefault="00000000" w:rsidRPr="00000000" w14:paraId="00000028">
      <w:pPr>
        <w:rPr>
          <w:highlight w:val="white"/>
        </w:rPr>
      </w:pPr>
      <w:r w:rsidDel="00000000" w:rsidR="00000000" w:rsidRPr="00000000">
        <w:rPr>
          <w:rtl w:val="0"/>
        </w:rPr>
      </w:r>
    </w:p>
    <w:p w:rsidR="00000000" w:rsidDel="00000000" w:rsidP="00000000" w:rsidRDefault="00000000" w:rsidRPr="00000000" w14:paraId="00000029">
      <w:pPr>
        <w:spacing w:after="160" w:line="259" w:lineRule="auto"/>
        <w:ind w:firstLine="0"/>
        <w:jc w:val="left"/>
        <w:rPr>
          <w:b w:val="1"/>
          <w:color w:val="1f4e79"/>
          <w:sz w:val="25"/>
          <w:szCs w:val="25"/>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jc w:val="left"/>
        <w:rPr>
          <w:highlight w:val="white"/>
        </w:rPr>
      </w:pPr>
      <w:bookmarkStart w:colFirst="0" w:colLast="0" w:name="_heading=h.1ksv4uv" w:id="3"/>
      <w:bookmarkEnd w:id="3"/>
      <w:r w:rsidDel="00000000" w:rsidR="00000000" w:rsidRPr="00000000">
        <w:rPr>
          <w:highlight w:val="white"/>
          <w:rtl w:val="0"/>
        </w:rPr>
        <w:t xml:space="preserve">Conceptualisation of </w:t>
      </w:r>
      <w:r w:rsidDel="00000000" w:rsidR="00000000" w:rsidRPr="00000000">
        <w:rPr>
          <w:color w:val="538135"/>
          <w:highlight w:val="white"/>
          <w:rtl w:val="0"/>
        </w:rPr>
        <w:t xml:space="preserve">stunting</w:t>
      </w:r>
      <w:r w:rsidDel="00000000" w:rsidR="00000000" w:rsidRPr="00000000">
        <w:rPr>
          <w:highlight w:val="white"/>
          <w:rtl w:val="0"/>
        </w:rPr>
        <w:t xml:space="preserve"> model structure </w:t>
      </w:r>
    </w:p>
    <w:p w:rsidR="00000000" w:rsidDel="00000000" w:rsidP="00000000" w:rsidRDefault="00000000" w:rsidRPr="00000000" w14:paraId="0000002B">
      <w:pPr>
        <w:pStyle w:val="Heading2"/>
        <w:rPr/>
      </w:pPr>
      <w:bookmarkStart w:colFirst="0" w:colLast="0" w:name="_heading=h.44sinio" w:id="4"/>
      <w:bookmarkEnd w:id="4"/>
      <w:r w:rsidDel="00000000" w:rsidR="00000000" w:rsidRPr="00000000">
        <w:rPr>
          <w:rtl w:val="0"/>
        </w:rPr>
        <w:t xml:space="preserve">Summary </w:t>
      </w:r>
    </w:p>
    <w:p w:rsidR="00000000" w:rsidDel="00000000" w:rsidP="00000000" w:rsidRDefault="00000000" w:rsidRPr="00000000" w14:paraId="0000002C">
      <w:pPr>
        <w:rPr/>
      </w:pPr>
      <w:sdt>
        <w:sdtPr>
          <w:tag w:val="goog_rdk_1"/>
        </w:sdtPr>
        <w:sdtContent>
          <w:r w:rsidDel="00000000" w:rsidR="00000000" w:rsidRPr="00000000">
            <w:rPr>
              <w:rFonts w:ascii="Arial Unicode MS" w:cs="Arial Unicode MS" w:eastAsia="Arial Unicode MS" w:hAnsi="Arial Unicode MS"/>
              <w:rtl w:val="0"/>
            </w:rPr>
            <w:t xml:space="preserve">In the design of a model for chronic malnutrition, the underlying ‘truth’ of an individual’s condition is determined by the height-for-age Z-score (HAZ), or stunting status (HAZ&lt;-2), following the WHO 2006 Child Growth Standards. Stunting classification by the WHO guidelines has two categories: moderate (-3≤HAZ&lt;-2) or severe (HAZ&lt;-3). </w:t>
          </w:r>
        </w:sdtContent>
      </w:sdt>
    </w:p>
    <w:p w:rsidR="00000000" w:rsidDel="00000000" w:rsidP="00000000" w:rsidRDefault="00000000" w:rsidRPr="00000000" w14:paraId="0000002D">
      <w:pPr>
        <w:rPr/>
      </w:pPr>
      <w:r w:rsidDel="00000000" w:rsidR="00000000" w:rsidRPr="00000000">
        <w:rPr>
          <w:rtl w:val="0"/>
        </w:rPr>
        <w:t xml:space="preserve">Stunting is a result of complex multifactor interaction as represented in Figure 5, a conceptual framework of stunting developed by Fenske and colleagues. For the simplicity of the model, only a few of these variables, which are measurable, will serve as risk factors for stunting.</w:t>
      </w:r>
    </w:p>
    <w:p w:rsidR="00000000" w:rsidDel="00000000" w:rsidP="00000000" w:rsidRDefault="00000000" w:rsidRPr="00000000" w14:paraId="0000002E">
      <w:pPr>
        <w:ind w:firstLine="0"/>
        <w:rPr/>
      </w:pPr>
      <w:r w:rsidDel="00000000" w:rsidR="00000000" w:rsidRPr="00000000">
        <w:rPr>
          <w:rtl w:val="0"/>
        </w:rPr>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Figure 5 - Conceptual framework of stunting (source: Fenske 2013) </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21</w:t>
      </w:r>
      <w:r w:rsidDel="00000000" w:rsidR="00000000" w:rsidRPr="00000000">
        <w:rPr>
          <w:rtl w:val="0"/>
        </w:rPr>
      </w:r>
    </w:p>
    <w:p w:rsidR="00000000" w:rsidDel="00000000" w:rsidP="00000000" w:rsidRDefault="00000000" w:rsidRPr="00000000" w14:paraId="00000030">
      <w:pPr>
        <w:ind w:firstLine="0"/>
        <w:rPr>
          <w:highlight w:val="white"/>
        </w:rPr>
      </w:pPr>
      <w:r w:rsidDel="00000000" w:rsidR="00000000" w:rsidRPr="00000000">
        <w:rPr/>
        <w:drawing>
          <wp:inline distB="0" distT="0" distL="0" distR="0">
            <wp:extent cx="6645910" cy="4885690"/>
            <wp:effectExtent b="0" l="0" r="0" t="0"/>
            <wp:docPr id="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45910" cy="488569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ind w:firstLine="0"/>
        <w:rPr>
          <w:highlight w:val="whit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stunting module updates the chronic nutritional status to all children under 5 years of age. It is responsible for assigning the prevalence at initiation of the simulation, the monthly incidence rate of stunting, changes between stunting states, and scheduling health system interactions where interventions are deployed. Death from stunting is not modelled, stunting serves as a risk factor for morbidity and mortality due to other diseases.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pPr>
      <w:bookmarkStart w:colFirst="0" w:colLast="0" w:name="_heading=h.2jxsxqh" w:id="5"/>
      <w:bookmarkEnd w:id="5"/>
      <w:r w:rsidDel="00000000" w:rsidR="00000000" w:rsidRPr="00000000">
        <w:rPr>
          <w:rtl w:val="0"/>
        </w:rPr>
        <w:t xml:space="preserve">Module properties</w:t>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6 - Properties of the stunting module, and respective type and description</w:t>
      </w:r>
    </w:p>
    <w:tbl>
      <w:tblPr>
        <w:tblStyle w:val="Table2"/>
        <w:tblpPr w:leftFromText="180" w:rightFromText="180" w:topFromText="0" w:bottomFromText="0" w:vertAnchor="text" w:horzAnchor="text" w:tblpX="0" w:tblpY="136"/>
        <w:tblW w:w="1006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2689"/>
        <w:gridCol w:w="4110"/>
        <w:gridCol w:w="3261"/>
        <w:tblGridChange w:id="0">
          <w:tblGrid>
            <w:gridCol w:w="2689"/>
            <w:gridCol w:w="4110"/>
            <w:gridCol w:w="3261"/>
          </w:tblGrid>
        </w:tblGridChange>
      </w:tblGrid>
      <w:tr>
        <w:trPr>
          <w:cantSplit w:val="0"/>
          <w:trHeight w:val="310" w:hRule="atLeast"/>
          <w:tblHeader w:val="0"/>
        </w:trPr>
        <w:tc>
          <w:tcPr>
            <w:shd w:fill="b4c6e7"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Property name</w:t>
            </w:r>
          </w:p>
        </w:tc>
        <w:tc>
          <w:tcPr>
            <w:shd w:fill="b4c6e7"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Type</w:t>
            </w:r>
          </w:p>
        </w:tc>
        <w:tc>
          <w:tcPr>
            <w:shd w:fill="b4c6e7"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Description</w:t>
            </w:r>
          </w:p>
        </w:tc>
      </w:tr>
      <w:tr>
        <w:trPr>
          <w:cantSplit w:val="0"/>
          <w:trHeight w:val="310" w:hRule="atLeast"/>
          <w:tblHeader w:val="0"/>
        </w:trP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un_ever_stunted</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Boolean</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ever had an episode of stunting (WHZ&lt;-2)</w:t>
            </w:r>
          </w:p>
        </w:tc>
      </w:tr>
      <w:tr>
        <w:trPr>
          <w:cantSplit w:val="0"/>
          <w:trHeight w:val="310" w:hRule="atLeast"/>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un_HAZ_category</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Categorical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['HAZ&lt;-3', '-3&lt;=HAZ&lt;-2', 'HAZ&gt;=-2']</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height-for-age z-score category</w:t>
            </w:r>
          </w:p>
        </w:tc>
      </w:tr>
      <w:tr>
        <w:trPr>
          <w:cantSplit w:val="0"/>
          <w:trHeight w:val="310"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un_clinical_chronic_malnutrition</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Categorical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['moderate_stunting', 'severe_stunting']</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clinical acute malnutrition state based on HAZ</w:t>
            </w:r>
          </w:p>
        </w:tc>
      </w:tr>
      <w:tr>
        <w:trPr>
          <w:cantSplit w:val="0"/>
          <w:trHeight w:val="310" w:hRule="atLeast"/>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un_last_stunting_date_of_onset</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 of onset of last episode of stunting</w:t>
            </w:r>
          </w:p>
        </w:tc>
      </w:tr>
      <w:tr>
        <w:trPr>
          <w:cantSplit w:val="0"/>
          <w:trHeight w:val="310" w:hRule="atLeast"/>
          <w:tblHeader w:val="0"/>
        </w:trP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un_stunting_recovery_date</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Date of recovery</w:t>
            </w:r>
          </w:p>
        </w:tc>
      </w:tr>
      <w:tr>
        <w:trPr>
          <w:cantSplit w:val="0"/>
          <w:trHeight w:val="310" w:hRule="atLeast"/>
          <w:tblHeader w:val="0"/>
        </w:trPr>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un_CM_treatment_type</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Categorical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['education_on_complementary_feeding',                                                 'complementary_feeding_with_food_supplementation']</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treatment types for chronic malnutrition</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rPr/>
      </w:pPr>
      <w:bookmarkStart w:colFirst="0" w:colLast="0" w:name="_heading=h.z337ya" w:id="6"/>
      <w:bookmarkEnd w:id="6"/>
      <w:r w:rsidDel="00000000" w:rsidR="00000000" w:rsidRPr="00000000">
        <w:rPr>
          <w:rtl w:val="0"/>
        </w:rPr>
        <w:t xml:space="preserve">Prevalence of stunting at start of simulation</w:t>
      </w:r>
    </w:p>
    <w:p w:rsidR="00000000" w:rsidDel="00000000" w:rsidP="00000000" w:rsidRDefault="00000000" w:rsidRPr="00000000" w14:paraId="00000050">
      <w:pPr>
        <w:rPr/>
      </w:pPr>
      <w:r w:rsidDel="00000000" w:rsidR="00000000" w:rsidRPr="00000000">
        <w:rPr>
          <w:rtl w:val="0"/>
        </w:rPr>
        <w:t xml:space="preserve">At initiation, the prevalence of stunting is set. Based on the DHS 2015-16 data, the mean and standard deviation of the normal distribution of HAZ scores for each age group: &lt;6, 6-11, 12-23, 24-35, 36-47, 48-59 months are used to determine the probability of HAZ&lt; -2 (wasted) for each age category. Then this probability of stunting is converted into odds of stunting, for which the odds ratios of risk factors are added to the linear model of stunting prevalence. Prevalence parameters and respective values are listed in Table 7.</w:t>
      </w:r>
    </w:p>
    <w:p w:rsidR="00000000" w:rsidDel="00000000" w:rsidP="00000000" w:rsidRDefault="00000000" w:rsidRPr="00000000" w14:paraId="00000051">
      <w:pPr>
        <w:ind w:firstLine="0"/>
        <w:rPr/>
      </w:pPr>
      <w:r w:rsidDel="00000000" w:rsidR="00000000" w:rsidRPr="00000000">
        <w:rPr>
          <w:rtl w:val="0"/>
        </w:rPr>
      </w:r>
    </w:p>
    <w:p w:rsidR="00000000" w:rsidDel="00000000" w:rsidP="00000000" w:rsidRDefault="00000000" w:rsidRPr="00000000" w14:paraId="00000052">
      <w:pPr>
        <w:pStyle w:val="Heading2"/>
        <w:rPr/>
      </w:pPr>
      <w:bookmarkStart w:colFirst="0" w:colLast="0" w:name="_heading=h.3j2qqm3" w:id="7"/>
      <w:bookmarkEnd w:id="7"/>
      <w:r w:rsidDel="00000000" w:rsidR="00000000" w:rsidRPr="00000000">
        <w:rPr>
          <w:rtl w:val="0"/>
        </w:rPr>
        <w:t xml:space="preserve">Incidence of stunting and disease progression </w:t>
      </w:r>
    </w:p>
    <w:p w:rsidR="00000000" w:rsidDel="00000000" w:rsidP="00000000" w:rsidRDefault="00000000" w:rsidRPr="00000000" w14:paraId="00000053">
      <w:pPr>
        <w:rPr/>
      </w:pPr>
      <w:r w:rsidDel="00000000" w:rsidR="00000000" w:rsidRPr="00000000">
        <w:rPr>
          <w:rtl w:val="0"/>
        </w:rPr>
        <w:t xml:space="preserve">The figure below (Figure 1) shows the proposed model structure for stunting (low height-for-age), the chronic form of undernutrition. It focuses on the natural history of stunting without input of the healthcare system interventions.</w:t>
      </w:r>
    </w:p>
    <w:p w:rsidR="00000000" w:rsidDel="00000000" w:rsidP="00000000" w:rsidRDefault="00000000" w:rsidRPr="00000000" w14:paraId="00000054">
      <w:pPr>
        <w:rPr/>
      </w:pPr>
      <w:r w:rsidDel="00000000" w:rsidR="00000000" w:rsidRPr="00000000">
        <w:rPr>
          <w:rtl w:val="0"/>
        </w:rPr>
        <w:t xml:space="preserve">A regular event, occurring every month, applies the incidence of new stunting cases by age. Then, for each individual, a probability of progression to severe stunting in the next 3 months is applied, as well as the probability of natural improvement by 1 standard deviation – if severely stunted the child can improve to moderate stunting; if moderately stunted, the child can improve to no stunting. Most children once stunted, will remain stunted, as a result of chronic undernutrition.</w:t>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Figure 6 - Model structure of the natural history of chronic malnutrition</w:t>
      </w:r>
    </w:p>
    <w:p w:rsidR="00000000" w:rsidDel="00000000" w:rsidP="00000000" w:rsidRDefault="00000000" w:rsidRPr="00000000" w14:paraId="00000056">
      <w:pPr>
        <w:ind w:firstLine="0"/>
        <w:rPr/>
      </w:pPr>
      <w:r w:rsidDel="00000000" w:rsidR="00000000" w:rsidRPr="00000000">
        <w:rPr/>
        <w:drawing>
          <wp:inline distB="0" distT="0" distL="0" distR="0">
            <wp:extent cx="4940060" cy="4363554"/>
            <wp:effectExtent b="0" l="0" r="0" t="0"/>
            <wp:docPr id="27" name="image1.png"/>
            <a:graphic>
              <a:graphicData uri="http://schemas.openxmlformats.org/drawingml/2006/picture">
                <pic:pic>
                  <pic:nvPicPr>
                    <pic:cNvPr id="0" name="image1.png"/>
                    <pic:cNvPicPr preferRelativeResize="0"/>
                  </pic:nvPicPr>
                  <pic:blipFill>
                    <a:blip r:embed="rId8"/>
                    <a:srcRect b="5476" l="2407" r="5548" t="5477"/>
                    <a:stretch>
                      <a:fillRect/>
                    </a:stretch>
                  </pic:blipFill>
                  <pic:spPr>
                    <a:xfrm>
                      <a:off x="0" y="0"/>
                      <a:ext cx="4940060" cy="4363554"/>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As shown in the proposed model structure, the incidence of stunting is dependent on age and several risk factors including, birth size (preterm birth, gestational age), HIV status, household wealth, exclusive breastfeeding until 6 months of age, prior episodes of diarrhoea, and prior wasting episodes.</w:t>
      </w:r>
    </w:p>
    <w:p w:rsidR="00000000" w:rsidDel="00000000" w:rsidP="00000000" w:rsidRDefault="00000000" w:rsidRPr="00000000" w14:paraId="00000058">
      <w:pPr>
        <w:rPr/>
      </w:pPr>
      <w:sdt>
        <w:sdtPr>
          <w:tag w:val="goog_rdk_2"/>
        </w:sdtPr>
        <w:sdtContent>
          <w:r w:rsidDel="00000000" w:rsidR="00000000" w:rsidRPr="00000000">
            <w:rPr>
              <w:rFonts w:ascii="Arial Unicode MS" w:cs="Arial Unicode MS" w:eastAsia="Arial Unicode MS" w:hAnsi="Arial Unicode MS"/>
              <w:rtl w:val="0"/>
            </w:rPr>
            <w:t xml:space="preserve">Once in a state of moderate stunting (-3≥HAZ&lt;-2), the individual will remain in that state for the following 3 months after onset, and a probability of stunting progression to severe is applied, as well as a probability of natural improvement of moderately stunted to normal height-for-age.</w:t>
          </w:r>
        </w:sdtContent>
      </w:sdt>
    </w:p>
    <w:p w:rsidR="00000000" w:rsidDel="00000000" w:rsidP="00000000" w:rsidRDefault="00000000" w:rsidRPr="00000000" w14:paraId="00000059">
      <w:pPr>
        <w:rPr/>
      </w:pPr>
      <w:r w:rsidDel="00000000" w:rsidR="00000000" w:rsidRPr="00000000">
        <w:rPr>
          <w:rtl w:val="0"/>
        </w:rPr>
        <w:t xml:space="preserve">The rate of progression to severe wasting depends on age and risk factors that way have changed since first onset of stunting, such as, HIV under treatment, wasting episode during stunting, and diarrhoeal episodes since onset of stunting. All other risk factors associated with incidence are assumed to remain constant for the individual (immutable), such as birth outcomes, been exclusively breastfed, and wealth level. When in the severe stunting state (HAZ&lt;-3), the individual will remain in that state for 3 months. After this period, the individual may recover to moderate stunting, but not fully recovered to non-stunting state.</w:t>
      </w:r>
    </w:p>
    <w:p w:rsidR="00000000" w:rsidDel="00000000" w:rsidP="00000000" w:rsidRDefault="00000000" w:rsidRPr="00000000" w14:paraId="0000005A">
      <w:pPr>
        <w:ind w:firstLine="0"/>
        <w:rPr>
          <w:rFonts w:ascii="Helvetica Neue" w:cs="Helvetica Neue" w:eastAsia="Helvetica Neue" w:hAnsi="Helvetica Neue"/>
          <w:color w:val="2a2a2a"/>
          <w:highlight w:val="white"/>
        </w:rPr>
      </w:pPr>
      <w:r w:rsidDel="00000000" w:rsidR="00000000" w:rsidRPr="00000000">
        <w:rPr>
          <w:rtl w:val="0"/>
        </w:rPr>
      </w:r>
    </w:p>
    <w:p w:rsidR="00000000" w:rsidDel="00000000" w:rsidP="00000000" w:rsidRDefault="00000000" w:rsidRPr="00000000" w14:paraId="0000005B">
      <w:pPr>
        <w:pStyle w:val="Heading2"/>
        <w:rPr/>
      </w:pPr>
      <w:bookmarkStart w:colFirst="0" w:colLast="0" w:name="_heading=h.1y810tw" w:id="8"/>
      <w:bookmarkEnd w:id="8"/>
      <w:r w:rsidDel="00000000" w:rsidR="00000000" w:rsidRPr="00000000">
        <w:rPr>
          <w:rtl w:val="0"/>
        </w:rPr>
        <w:t xml:space="preserve">Health System Interactions</w:t>
      </w:r>
    </w:p>
    <w:p w:rsidR="00000000" w:rsidDel="00000000" w:rsidP="00000000" w:rsidRDefault="00000000" w:rsidRPr="00000000" w14:paraId="0000005C">
      <w:pPr>
        <w:rPr/>
      </w:pPr>
      <w:r w:rsidDel="00000000" w:rsidR="00000000" w:rsidRPr="00000000">
        <w:rPr>
          <w:rtl w:val="0"/>
        </w:rPr>
        <w:t xml:space="preserve">There is a monthly regular event that checks on the probability of recovery/improvement from stunting based on interventions. Sever stunting cannot revert back to normal state, the individual can only improve by 1 z-score. </w:t>
      </w:r>
    </w:p>
    <w:p w:rsidR="00000000" w:rsidDel="00000000" w:rsidP="00000000" w:rsidRDefault="00000000" w:rsidRPr="00000000" w14:paraId="0000005D">
      <w:pPr>
        <w:spacing w:after="160" w:line="259" w:lineRule="auto"/>
        <w:rPr/>
      </w:pPr>
      <w:r w:rsidDel="00000000" w:rsidR="00000000" w:rsidRPr="00000000">
        <w:rPr>
          <w:rtl w:val="0"/>
        </w:rPr>
        <w:t xml:space="preserve">Being a complex problem, there is no single nutrition intervention to address stunting in children, but rather multiple, complex and coordinated nutrition-sensitive and nutrition-specific interventions in partnership with other health and non-health actors in development</w:t>
      </w:r>
      <w:r w:rsidDel="00000000" w:rsidR="00000000" w:rsidRPr="00000000">
        <w:rPr>
          <w:vertAlign w:val="superscript"/>
          <w:rtl w:val="0"/>
        </w:rPr>
        <w:t xml:space="preserve">22</w:t>
      </w:r>
      <w:r w:rsidDel="00000000" w:rsidR="00000000" w:rsidRPr="00000000">
        <w:rPr>
          <w:rtl w:val="0"/>
        </w:rPr>
        <w:t xml:space="preserve">. </w:t>
      </w:r>
    </w:p>
    <w:p w:rsidR="00000000" w:rsidDel="00000000" w:rsidP="00000000" w:rsidRDefault="00000000" w:rsidRPr="00000000" w14:paraId="0000005E">
      <w:pPr>
        <w:spacing w:after="160" w:line="259" w:lineRule="auto"/>
        <w:jc w:val="left"/>
        <w:rPr/>
      </w:pPr>
      <w:r w:rsidDel="00000000" w:rsidR="00000000" w:rsidRPr="00000000">
        <w:rPr>
          <w:rtl w:val="0"/>
        </w:rPr>
        <w:t xml:space="preserve">In Malawi’s Essential Health Package, relevant interventions for stunting include: </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Promotion of exclusive breastfeeding (part of the IMCI counselling part)</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Growth monitoring (checked in routine check-ups)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De-worming (part of the IMCI routine medications)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Micronutrient supplementation (part of the IMCI routine medications)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Treatment of severe acute malnutrition </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In the stunting module the interventions specific for stunting modelled are complementary feeding (education and supplementation). Other interventions above included in the EHP are applied when the child interacts with the health system.</w:t>
      </w:r>
    </w:p>
    <w:p w:rsidR="00000000" w:rsidDel="00000000" w:rsidP="00000000" w:rsidRDefault="00000000" w:rsidRPr="00000000" w14:paraId="00000065">
      <w:pPr>
        <w:spacing w:after="160" w:line="259" w:lineRule="auto"/>
        <w:ind w:firstLine="0"/>
        <w:jc w:val="left"/>
        <w:rPr/>
      </w:pPr>
      <w:r w:rsidDel="00000000" w:rsidR="00000000" w:rsidRPr="00000000">
        <w:rPr>
          <w:rtl w:val="0"/>
        </w:rPr>
      </w:r>
    </w:p>
    <w:p w:rsidR="00000000" w:rsidDel="00000000" w:rsidP="00000000" w:rsidRDefault="00000000" w:rsidRPr="00000000" w14:paraId="00000066">
      <w:pPr>
        <w:spacing w:after="160" w:line="259" w:lineRule="auto"/>
        <w:ind w:firstLine="0"/>
        <w:jc w:val="left"/>
        <w:rPr/>
      </w:pPr>
      <w:r w:rsidDel="00000000" w:rsidR="00000000" w:rsidRPr="00000000">
        <w:rPr>
          <w:rtl w:val="0"/>
        </w:rPr>
        <w:t xml:space="preserve">Although a more comprehensive list of prevention interventions would be:</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highlight w:val="white"/>
          <w:u w:val="none"/>
          <w:vertAlign w:val="baseline"/>
          <w:rtl w:val="0"/>
        </w:rPr>
        <w:t xml:space="preserve">zinc supplementation in pregnant women</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highlight w:val="white"/>
          <w:u w:val="none"/>
          <w:vertAlign w:val="baseline"/>
          <w:rtl w:val="0"/>
        </w:rPr>
        <w:t xml:space="preserve">micronutrient or macronutrient supplementation in children</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highlight w:val="white"/>
          <w:u w:val="none"/>
          <w:vertAlign w:val="baseline"/>
          <w:rtl w:val="0"/>
        </w:rPr>
        <w:t xml:space="preserve">nutrition education for pregnant women</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highlight w:val="white"/>
          <w:u w:val="none"/>
          <w:vertAlign w:val="baseline"/>
          <w:rtl w:val="0"/>
        </w:rPr>
        <w:t xml:space="preserve">nutrition systems strengthening targeting children</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complementary feeding (education and supplementation)</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breastfeeding promotion</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multiple micronutrient supplementation</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balanced energy supplementation</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zinc for prevention</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improved sanitation</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water connection in the home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improved water source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handwashing with soap</w:t>
      </w:r>
      <w:r w:rsidDel="00000000" w:rsidR="00000000" w:rsidRPr="00000000">
        <w:rPr>
          <w:rtl w:val="0"/>
        </w:rPr>
      </w:r>
    </w:p>
    <w:p w:rsidR="00000000" w:rsidDel="00000000" w:rsidP="00000000" w:rsidRDefault="00000000" w:rsidRPr="00000000" w14:paraId="00000074">
      <w:pPr>
        <w:spacing w:after="160" w:line="259" w:lineRule="auto"/>
        <w:ind w:firstLine="0"/>
        <w:jc w:val="left"/>
        <w:rPr>
          <w:b w:val="1"/>
          <w:color w:val="1f3864"/>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2"/>
        <w:rPr>
          <w:highlight w:val="white"/>
        </w:rPr>
      </w:pPr>
      <w:bookmarkStart w:colFirst="0" w:colLast="0" w:name="_heading=h.4i7ojhp" w:id="9"/>
      <w:bookmarkEnd w:id="9"/>
      <w:r w:rsidDel="00000000" w:rsidR="00000000" w:rsidRPr="00000000">
        <w:rPr>
          <w:highlight w:val="white"/>
          <w:rtl w:val="0"/>
        </w:rPr>
        <w:t xml:space="preserve">Parameters of the stunting module</w:t>
      </w:r>
    </w:p>
    <w:p w:rsidR="00000000" w:rsidDel="00000000" w:rsidP="00000000" w:rsidRDefault="00000000" w:rsidRPr="00000000" w14:paraId="00000076">
      <w:pPr>
        <w:rPr/>
      </w:pPr>
      <w:r w:rsidDel="00000000" w:rsidR="00000000" w:rsidRPr="00000000">
        <w:rPr>
          <w:rtl w:val="0"/>
        </w:rPr>
        <w:t xml:space="preserve">Table 7 list all the parameters used in modelling stunting.</w:t>
      </w:r>
    </w:p>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7 - Parameters of the stunting module and respective values</w:t>
      </w:r>
    </w:p>
    <w:tbl>
      <w:tblPr>
        <w:tblStyle w:val="Table3"/>
        <w:tblW w:w="10456.000000000002"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431"/>
        <w:gridCol w:w="3118"/>
        <w:gridCol w:w="1138"/>
        <w:gridCol w:w="991"/>
        <w:gridCol w:w="3256"/>
        <w:gridCol w:w="1522"/>
        <w:tblGridChange w:id="0">
          <w:tblGrid>
            <w:gridCol w:w="431"/>
            <w:gridCol w:w="3118"/>
            <w:gridCol w:w="1138"/>
            <w:gridCol w:w="991"/>
            <w:gridCol w:w="3256"/>
            <w:gridCol w:w="1522"/>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5.0" w:type="dxa"/>
              <w:left w:w="15.0" w:type="dxa"/>
              <w:bottom w:w="0.0" w:type="dxa"/>
              <w:right w:w="15.0" w:type="dxa"/>
            </w:tcMar>
            <w:vAlign w:val="bottom"/>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0" w:val="nil"/>
              <w:right w:color="000000" w:space="0" w:sz="4" w:val="single"/>
            </w:tcBorders>
            <w:shd w:fill="c6e0b4" w:val="clear"/>
            <w:tcMar>
              <w:top w:w="15.0" w:type="dxa"/>
              <w:left w:w="15.0" w:type="dxa"/>
              <w:bottom w:w="0.0" w:type="dxa"/>
              <w:right w:w="15.0" w:type="dxa"/>
            </w:tcMar>
            <w:vAlign w:val="bottom"/>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Parameter</w:t>
            </w:r>
          </w:p>
        </w:tc>
        <w:tc>
          <w:tcPr>
            <w:tcBorders>
              <w:top w:color="000000" w:space="0" w:sz="8" w:val="single"/>
              <w:left w:color="000000" w:space="0" w:sz="0" w:val="nil"/>
              <w:bottom w:color="000000" w:space="0" w:sz="0" w:val="nil"/>
              <w:right w:color="000000" w:space="0" w:sz="4" w:val="single"/>
            </w:tcBorders>
            <w:shd w:fill="c6e0b4" w:val="clear"/>
            <w:tcMar>
              <w:top w:w="15.0" w:type="dxa"/>
              <w:left w:w="15.0" w:type="dxa"/>
              <w:bottom w:w="0.0" w:type="dxa"/>
              <w:right w:w="15.0" w:type="dxa"/>
            </w:tcMar>
            <w:vAlign w:val="bottom"/>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Value</w:t>
            </w:r>
          </w:p>
        </w:tc>
        <w:tc>
          <w:tcPr>
            <w:tcBorders>
              <w:top w:color="000000" w:space="0" w:sz="8" w:val="single"/>
              <w:left w:color="000000" w:space="0" w:sz="0" w:val="nil"/>
              <w:bottom w:color="000000" w:space="0" w:sz="0" w:val="nil"/>
              <w:right w:color="000000" w:space="0" w:sz="4" w:val="single"/>
            </w:tcBorders>
            <w:shd w:fill="c6e0b4" w:val="clear"/>
            <w:tcMar>
              <w:top w:w="15.0" w:type="dxa"/>
              <w:left w:w="15.0" w:type="dxa"/>
              <w:bottom w:w="0.0" w:type="dxa"/>
              <w:right w:w="15.0" w:type="dxa"/>
            </w:tcMar>
            <w:vAlign w:val="bottom"/>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Source</w:t>
            </w:r>
          </w:p>
        </w:tc>
        <w:tc>
          <w:tcPr>
            <w:tcBorders>
              <w:top w:color="000000" w:space="0" w:sz="8" w:val="single"/>
              <w:left w:color="000000" w:space="0" w:sz="0" w:val="nil"/>
              <w:bottom w:color="000000" w:space="0" w:sz="0" w:val="nil"/>
              <w:right w:color="000000" w:space="0" w:sz="4" w:val="single"/>
            </w:tcBorders>
            <w:shd w:fill="c6e0b4" w:val="clear"/>
            <w:tcMar>
              <w:top w:w="15.0" w:type="dxa"/>
              <w:left w:w="15.0" w:type="dxa"/>
              <w:bottom w:w="0.0" w:type="dxa"/>
              <w:right w:w="15.0" w:type="dxa"/>
            </w:tcMar>
            <w:vAlign w:val="bottom"/>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Description</w:t>
            </w:r>
          </w:p>
        </w:tc>
        <w:tc>
          <w:tcPr>
            <w:tcBorders>
              <w:top w:color="000000" w:space="0" w:sz="8" w:val="single"/>
              <w:left w:color="000000" w:space="0" w:sz="0" w:val="nil"/>
              <w:bottom w:color="000000" w:space="0" w:sz="0" w:val="nil"/>
              <w:right w:color="000000" w:space="0" w:sz="8" w:val="single"/>
            </w:tcBorders>
            <w:shd w:fill="c6e0b4" w:val="clear"/>
            <w:tcMar>
              <w:top w:w="15.0" w:type="dxa"/>
              <w:left w:w="15.0" w:type="dxa"/>
              <w:bottom w:w="0.0" w:type="dxa"/>
              <w:right w:w="15.0" w:type="dxa"/>
            </w:tcMar>
            <w:vAlign w:val="bottom"/>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Notes</w:t>
            </w:r>
          </w:p>
        </w:tc>
      </w:tr>
      <w:tr>
        <w:trPr>
          <w:cantSplit w:val="0"/>
          <w:trHeight w:val="310" w:hRule="atLeast"/>
          <w:tblHeader w:val="0"/>
        </w:trPr>
        <w:tc>
          <w:tcPr>
            <w:vMerge w:val="restart"/>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1"/>
                <w:szCs w:val="21"/>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v</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l</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p>
        </w:tc>
        <w:tc>
          <w:tcPr>
            <w:tcBorders>
              <w:top w:color="000000" w:space="0" w:sz="8"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prev_HAZ_distribution_age_0_5mo</w:t>
            </w:r>
          </w:p>
        </w:tc>
        <w:tc>
          <w:tcPr>
            <w:tcBorders>
              <w:top w:color="000000" w:space="0" w:sz="8"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[-0.8482, 1.4163]</w:t>
            </w:r>
          </w:p>
        </w:tc>
        <w:tc>
          <w:tcPr>
            <w:tcBorders>
              <w:top w:color="000000" w:space="0" w:sz="8"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DHS 2015-16</w:t>
            </w:r>
          </w:p>
        </w:tc>
        <w:tc>
          <w:tcPr>
            <w:tcBorders>
              <w:top w:color="000000" w:space="0" w:sz="8"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mean and standard deviation of height-for-age z-scores distribution for &lt;6 months old</w:t>
            </w:r>
          </w:p>
        </w:tc>
        <w:tc>
          <w:tcPr>
            <w:tcBorders>
              <w:top w:color="000000" w:space="0" w:sz="8" w:val="single"/>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prev_HAZ_distribution_age_6_11mo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[-0.9940, 1.5044]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DHS 2015-16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mean and standard deviation of height-for-age z-scores distribution for 6-11 months old</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prev_HAZ_distribution_age_12_23mo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[-1.5221, 1.4312]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DHS 2015-16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mean and standard deviation of height-for-age z-scores distribution for 1 year old</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prev_HAZ_distribution_age_24_35mo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[-1.6692, 1.3435]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DHS 2015-16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mean and standard deviation of height-for-age z-scores distribution for 2 year old</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prev_HAZ_distribution_age_36_47mo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[-1.7973, 1.2124]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DHS 2015-16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mean and standard deviation of height-for-age z-scores distribution for 3 year old</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prev_HAZ_distribution_age_48_59mo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[-1.6201, 1.1154]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DHS 2015-16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mean and standard deviation of height-for-age z-scores distribution for 4 year old</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or_stunting_male</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1.38 </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odds ratio of stunting for males</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or_stunting_hhwealth_Q5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1.69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odds ratio of stunting for poorest household wealth Q5</w:t>
            </w:r>
          </w:p>
        </w:tc>
        <w:tc>
          <w:tcPr>
            <w:tcBorders>
              <w:top w:color="000000" w:space="0" w:sz="0" w:val="nil"/>
              <w:left w:color="000000" w:space="0" w:sz="4" w:val="single"/>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or_stunting_hhwealth_Q4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1.48</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odds ratio of stunting for poorer household wealth Q4</w:t>
            </w:r>
          </w:p>
        </w:tc>
        <w:tc>
          <w:tcPr>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or_stunting_hhwealth_Q3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odds ratio of stunting for middle household wealth Q3</w:t>
            </w:r>
          </w:p>
        </w:tc>
        <w:tc>
          <w:tcPr>
            <w:tcBorders>
              <w:top w:color="000000" w:space="0" w:sz="0" w:val="nil"/>
              <w:left w:color="000000" w:space="0" w:sz="4" w:val="single"/>
              <w:bottom w:color="000000" w:space="0" w:sz="8"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or_stunting_hhwealth_Q2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odds ratio of stunting for richer household wealth Q2</w:t>
            </w:r>
          </w:p>
        </w:tc>
        <w:tc>
          <w:tcPr>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or_stunting_preterm_and_AGA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2.13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odds ratio of stunting if born preterm and adequate for gestational age</w:t>
            </w:r>
          </w:p>
        </w:tc>
        <w:tc>
          <w:tcPr>
            <w:vMerge w:val="restart"/>
            <w:tcBorders>
              <w:top w:color="000000" w:space="0" w:sz="0" w:val="nil"/>
              <w:left w:color="000000" w:space="0" w:sz="4" w:val="single"/>
              <w:right w:color="000000" w:space="0" w:sz="8" w:val="single"/>
            </w:tcBorders>
            <w:shd w:fill="auto" w:val="clear"/>
            <w:vAlign w:val="cente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pooled OR estimate for sub-saharan africa</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or_stunting_SGA_and_term</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2.36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odds ratio of stunting if born small for gestational age and term</w:t>
            </w:r>
          </w:p>
        </w:tc>
        <w:tc>
          <w:tcPr>
            <w:vMerge w:val="continue"/>
            <w:tcBorders>
              <w:top w:color="000000" w:space="0" w:sz="0" w:val="nil"/>
              <w:left w:color="000000" w:space="0" w:sz="4" w:val="single"/>
              <w:right w:color="000000" w:space="0" w:sz="8" w:val="single"/>
            </w:tcBorders>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2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or_stunting_SGA_and_preterm</w:t>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5.95</w:t>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odds ratio of stunting if born small for gestational age and preterm</w:t>
            </w:r>
          </w:p>
        </w:tc>
        <w:tc>
          <w:tcPr>
            <w:vMerge w:val="continue"/>
            <w:tcBorders>
              <w:top w:color="000000" w:space="0" w:sz="0" w:val="nil"/>
              <w:left w:color="000000" w:space="0" w:sz="4" w:val="single"/>
              <w:right w:color="000000" w:space="0" w:sz="8" w:val="single"/>
            </w:tcBorders>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10" w:hRule="atLeast"/>
          <w:tblHeader w:val="0"/>
        </w:trPr>
        <w:tc>
          <w:tcPr>
            <w:vMerge w:val="restart"/>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1"/>
                <w:szCs w:val="21"/>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base_inc_rate_stunting_by_agegp</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[0.024,0.09,0.15,0.09,0.06, 0.06]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baseline incidence rate of stunting by age group [1-5, 6-11, 12-23, 24-35, 36-47, 48-59]</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estimates will be calculated, currently dummy values</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rr_stunting_preterm_and_AGA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2.11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rate of stunting if born preterm and adequate for gestational age</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rr_stunting_SGA_and_term</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2.26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rate of stunting if born small for gestational age and term</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rr_stunting_SGA_and_preterm</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3.09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rate of stunting if born small for gestational age and preterm</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rr_stunting_prior_wasting</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1.93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rate of stunting if prior wasting</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rr_stunting_untreated_HIV</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dummy</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risk of stunting per unit decrease in wealth level</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rr_stunting_wealth_level</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risk of stunting per unit decrease in wealth level</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rr_stunting_no_exclusive_breastfeeding</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dummy</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risk of stunting for children&lt;2yo without exclusive breastfeeding</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rr_stunting_no_continued_breastfeeding</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dummy</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risk of stunting for children&lt;2yo without continued breastfeeding</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rr_stunting_per_diarrhoeal_episode</w:t>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1.04</w:t>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24</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risk of stunting per 1 unit increase in diarrhoea episodes since birth</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restart"/>
            <w:tcBorders>
              <w:top w:color="000000" w:space="0" w:sz="0" w:val="nil"/>
              <w:left w:color="000000" w:space="0" w:sz="8" w:val="single"/>
              <w:bottom w:color="000000" w:space="0" w:sz="0" w:val="nil"/>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1"/>
                <w:szCs w:val="21"/>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o</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g</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o</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progression_severe_stunting_by_agegp</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[0.02,0.03,0.09,0.05,0.04,0.03]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risk of progression to severe stunting (HAZ&lt;-3) by age group</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0" w:val="nil"/>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rr_progress_severe_stunting_previous_wasting</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1.93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relative risk of severe stunting if wasting occurred during current stunting</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Assumed same value as rr_stunting_prior_wasting</w:t>
            </w:r>
          </w:p>
        </w:tc>
      </w:tr>
      <w:tr>
        <w:trPr>
          <w:cantSplit w:val="0"/>
          <w:trHeight w:val="310" w:hRule="atLeast"/>
          <w:tblHeader w:val="0"/>
        </w:trPr>
        <w:tc>
          <w:tcPr>
            <w:vMerge w:val="continue"/>
            <w:tcBorders>
              <w:top w:color="000000" w:space="0" w:sz="0" w:val="nil"/>
              <w:left w:color="000000" w:space="0" w:sz="8" w:val="single"/>
              <w:bottom w:color="000000" w:space="0" w:sz="0" w:val="nil"/>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rr_progress_severe_stunting_untreated_HIV</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dummy</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relative risk of severe stunting if untreated HIV status</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0" w:val="nil"/>
              <w:left w:color="000000" w:space="0" w:sz="8" w:val="single"/>
              <w:bottom w:color="000000" w:space="0" w:sz="0" w:val="nil"/>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5.0" w:type="dxa"/>
              <w:left w:w="15.0" w:type="dxa"/>
              <w:bottom w:w="0.0" w:type="dxa"/>
              <w:right w:w="15.0" w:type="dxa"/>
            </w:tcMar>
            <w:vAlign w:val="bottom"/>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rr_progress_severe_stunting_per_diarrhoeal_episode</w:t>
            </w:r>
          </w:p>
        </w:tc>
        <w:tc>
          <w:tcPr>
            <w:tcBorders>
              <w:top w:color="000000" w:space="0" w:sz="0" w:val="nil"/>
              <w:left w:color="000000" w:space="0" w:sz="0" w:val="nil"/>
              <w:bottom w:color="000000" w:space="0" w:sz="0" w:val="nil"/>
              <w:right w:color="000000" w:space="0" w:sz="0" w:val="nil"/>
            </w:tcBorders>
            <w:shd w:fill="auto" w:val="clear"/>
            <w:tcMar>
              <w:top w:w="15.0" w:type="dxa"/>
              <w:left w:w="15.0" w:type="dxa"/>
              <w:bottom w:w="0.0" w:type="dxa"/>
              <w:right w:w="15.0" w:type="dxa"/>
            </w:tcMar>
            <w:vAlign w:val="bottom"/>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1.04</w:t>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relative risk of severe stunting if per diarrhoeal episode</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20" w:hRule="atLeast"/>
          <w:tblHeader w:val="0"/>
        </w:trPr>
        <w:tc>
          <w:tcPr>
            <w:vMerge w:val="continue"/>
            <w:tcBorders>
              <w:top w:color="000000" w:space="0" w:sz="0" w:val="nil"/>
              <w:left w:color="000000" w:space="0" w:sz="8" w:val="single"/>
              <w:bottom w:color="000000" w:space="0" w:sz="0" w:val="nil"/>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prob_remained_stunted_in_the_next_3months</w:t>
            </w:r>
          </w:p>
        </w:tc>
        <w:tc>
          <w:tcPr>
            <w:tcBorders>
              <w:top w:color="000000" w:space="0" w:sz="4" w:val="single"/>
              <w:left w:color="000000" w:space="0" w:sz="0" w:val="nil"/>
              <w:bottom w:color="000000" w:space="0" w:sz="0" w:val="nil"/>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0.873</w:t>
            </w:r>
          </w:p>
        </w:tc>
        <w:tc>
          <w:tcPr>
            <w:tcBorders>
              <w:top w:color="000000" w:space="0" w:sz="0" w:val="nil"/>
              <w:left w:color="000000" w:space="0" w:sz="0" w:val="nil"/>
              <w:bottom w:color="000000" w:space="0" w:sz="0" w:val="nil"/>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probability of remaining stunted for the next 3 months</w:t>
            </w:r>
          </w:p>
        </w:tc>
        <w:tc>
          <w:tcPr>
            <w:tcBorders>
              <w:top w:color="000000" w:space="0" w:sz="0" w:val="nil"/>
              <w:left w:color="000000" w:space="0" w:sz="0" w:val="nil"/>
              <w:bottom w:color="000000" w:space="0" w:sz="0" w:val="nil"/>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restart"/>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1"/>
                <w:szCs w:val="21"/>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v</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o</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w:t>
            </w:r>
          </w:p>
        </w:tc>
        <w:tc>
          <w:tcPr>
            <w:tcBorders>
              <w:top w:color="000000" w:space="0" w:sz="8"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coverage_supplementary_feeding_program</w:t>
            </w:r>
          </w:p>
        </w:tc>
        <w:tc>
          <w:tcPr>
            <w:tcBorders>
              <w:top w:color="000000" w:space="0" w:sz="8"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0.58</w:t>
            </w:r>
          </w:p>
        </w:tc>
        <w:tc>
          <w:tcPr>
            <w:tcBorders>
              <w:top w:color="000000" w:space="0" w:sz="8"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14</w:t>
            </w: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coverage of supplementary feeding program for MAM in health centres</w:t>
            </w:r>
          </w:p>
        </w:tc>
        <w:tc>
          <w:tcPr>
            <w:tcBorders>
              <w:top w:color="000000" w:space="0" w:sz="8" w:val="single"/>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Malawi estimates</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un_effectiveness_complementary_feeding_promo_education_only_in_stunting_reduction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0.25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effectiveness of complementary feeding programme with education only in reducing stunting</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1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un_effectiveness_complementary_feeding_promo_with_food_supplementation_in_stunting_reduction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0.41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effectiveness of complementary feeding programme with provision of supplementary foods in reducing stunting</w:t>
            </w:r>
          </w:p>
        </w:tc>
        <w:tc>
          <w:tcPr>
            <w:tcBorders>
              <w:top w:color="000000" w:space="0" w:sz="0" w:val="nil"/>
              <w:left w:color="000000" w:space="0" w:sz="0" w:val="nil"/>
              <w:bottom w:color="000000" w:space="0" w:sz="4"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c>
      </w:tr>
      <w:tr>
        <w:trPr>
          <w:cantSplit w:val="0"/>
          <w:trHeight w:val="320" w:hRule="atLeast"/>
          <w:tblHeader w:val="0"/>
        </w:trPr>
        <w:tc>
          <w:tcPr>
            <w:vMerge w:val="continue"/>
            <w:tcBorders>
              <w:top w:color="000000" w:space="0" w:sz="8" w:val="single"/>
              <w:left w:color="000000" w:space="0" w:sz="8" w:val="single"/>
              <w:bottom w:color="000000" w:space="0" w:sz="8" w:val="single"/>
              <w:right w:color="000000" w:space="0" w:sz="4" w:val="single"/>
            </w:tcBorders>
            <w:shd w:fill="e7e6e6" w:val="clear"/>
            <w:tcMar>
              <w:top w:w="15.0" w:type="dxa"/>
              <w:left w:w="15.0" w:type="dxa"/>
              <w:bottom w:w="0.0" w:type="dxa"/>
              <w:right w:w="15.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un_effectiveness_zinc_supplementation_in_stunting_reduction</w:t>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0.15</w:t>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24</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tcMar>
              <w:top w:w="15.0" w:type="dxa"/>
              <w:left w:w="15.0" w:type="dxa"/>
              <w:bottom w:w="0.0" w:type="dxa"/>
              <w:right w:w="15.0" w:type="dxa"/>
            </w:tcMar>
            <w:vAlign w:val="bottom"/>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effectiveness of zinc supplementation in reducing stunting</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bottom"/>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Not yet used in the code</w:t>
            </w:r>
          </w:p>
        </w:tc>
      </w:tr>
    </w:tbl>
    <w:p w:rsidR="00000000" w:rsidDel="00000000" w:rsidP="00000000" w:rsidRDefault="00000000" w:rsidRPr="00000000" w14:paraId="0000016F">
      <w:pPr>
        <w:spacing w:after="160" w:line="259" w:lineRule="auto"/>
        <w:ind w:firstLine="0"/>
        <w:jc w:val="left"/>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70">
      <w:pPr>
        <w:pStyle w:val="Heading1"/>
        <w:rPr/>
      </w:pPr>
      <w:bookmarkStart w:colFirst="0" w:colLast="0" w:name="_heading=h.2xcytpi" w:id="10"/>
      <w:bookmarkEnd w:id="10"/>
      <w:r w:rsidDel="00000000" w:rsidR="00000000" w:rsidRPr="00000000">
        <w:rPr>
          <w:rtl w:val="0"/>
        </w:rPr>
        <w:t xml:space="preserve">References</w:t>
      </w:r>
    </w:p>
    <w:p w:rsidR="00000000" w:rsidDel="00000000" w:rsidP="00000000" w:rsidRDefault="00000000" w:rsidRPr="00000000" w14:paraId="00000171">
      <w:pPr>
        <w:widowControl w:val="0"/>
        <w:spacing w:line="240" w:lineRule="auto"/>
        <w:ind w:left="640" w:hanging="640"/>
        <w:rPr>
          <w:sz w:val="24"/>
          <w:szCs w:val="24"/>
        </w:rPr>
      </w:pPr>
      <w:r w:rsidDel="00000000" w:rsidR="00000000" w:rsidRPr="00000000">
        <w:rPr>
          <w:sz w:val="24"/>
          <w:szCs w:val="24"/>
          <w:rtl w:val="0"/>
        </w:rPr>
        <w:t xml:space="preserve">1.</w:t>
        <w:tab/>
        <w:t xml:space="preserve">Maleta, K. Undernutrition. </w:t>
      </w:r>
      <w:r w:rsidDel="00000000" w:rsidR="00000000" w:rsidRPr="00000000">
        <w:rPr>
          <w:i w:val="1"/>
          <w:sz w:val="24"/>
          <w:szCs w:val="24"/>
          <w:rtl w:val="0"/>
        </w:rPr>
        <w:t xml:space="preserve">Malawi Med. J.</w:t>
      </w:r>
      <w:r w:rsidDel="00000000" w:rsidR="00000000" w:rsidRPr="00000000">
        <w:rPr>
          <w:sz w:val="24"/>
          <w:szCs w:val="24"/>
          <w:rtl w:val="0"/>
        </w:rPr>
        <w:t xml:space="preserve"> 189–205 (2006).</w:t>
      </w:r>
    </w:p>
    <w:p w:rsidR="00000000" w:rsidDel="00000000" w:rsidP="00000000" w:rsidRDefault="00000000" w:rsidRPr="00000000" w14:paraId="00000172">
      <w:pPr>
        <w:widowControl w:val="0"/>
        <w:spacing w:line="240" w:lineRule="auto"/>
        <w:ind w:left="640" w:hanging="640"/>
        <w:rPr>
          <w:sz w:val="24"/>
          <w:szCs w:val="24"/>
        </w:rPr>
      </w:pPr>
      <w:r w:rsidDel="00000000" w:rsidR="00000000" w:rsidRPr="00000000">
        <w:rPr>
          <w:sz w:val="24"/>
          <w:szCs w:val="24"/>
          <w:rtl w:val="0"/>
        </w:rPr>
        <w:t xml:space="preserve">2.</w:t>
        <w:tab/>
        <w:t xml:space="preserve">Fact sheets - Malnutrition. Available at: https://www.who.int/news-room/fact-sheets/detail/malnutrition. (Accessed: 26th April 2021)</w:t>
      </w:r>
    </w:p>
    <w:p w:rsidR="00000000" w:rsidDel="00000000" w:rsidP="00000000" w:rsidRDefault="00000000" w:rsidRPr="00000000" w14:paraId="00000173">
      <w:pPr>
        <w:widowControl w:val="0"/>
        <w:spacing w:line="240" w:lineRule="auto"/>
        <w:ind w:left="640" w:hanging="640"/>
        <w:rPr>
          <w:sz w:val="24"/>
          <w:szCs w:val="24"/>
        </w:rPr>
      </w:pPr>
      <w:r w:rsidDel="00000000" w:rsidR="00000000" w:rsidRPr="00000000">
        <w:rPr>
          <w:sz w:val="24"/>
          <w:szCs w:val="24"/>
          <w:rtl w:val="0"/>
        </w:rPr>
        <w:t xml:space="preserve">3.</w:t>
        <w:tab/>
        <w:t xml:space="preserve">Williams, P. C. M. &amp; Berkley, J. A. Guidelines for the treatment of severe acute malnutrition: a systematic review of the evidence for antimicrobial therapy. </w:t>
      </w:r>
      <w:r w:rsidDel="00000000" w:rsidR="00000000" w:rsidRPr="00000000">
        <w:rPr>
          <w:i w:val="1"/>
          <w:sz w:val="24"/>
          <w:szCs w:val="24"/>
          <w:rtl w:val="0"/>
        </w:rPr>
        <w:t xml:space="preserve">Paediatrics and International Child Health</w:t>
      </w:r>
      <w:r w:rsidDel="00000000" w:rsidR="00000000" w:rsidRPr="00000000">
        <w:rPr>
          <w:sz w:val="24"/>
          <w:szCs w:val="24"/>
          <w:rtl w:val="0"/>
        </w:rPr>
        <w:t xml:space="preserve"> </w:t>
      </w:r>
      <w:r w:rsidDel="00000000" w:rsidR="00000000" w:rsidRPr="00000000">
        <w:rPr>
          <w:b w:val="1"/>
          <w:sz w:val="24"/>
          <w:szCs w:val="24"/>
          <w:rtl w:val="0"/>
        </w:rPr>
        <w:t xml:space="preserve">38</w:t>
      </w:r>
      <w:r w:rsidDel="00000000" w:rsidR="00000000" w:rsidRPr="00000000">
        <w:rPr>
          <w:sz w:val="24"/>
          <w:szCs w:val="24"/>
          <w:rtl w:val="0"/>
        </w:rPr>
        <w:t xml:space="preserve">, S32–S49 (2018).</w:t>
      </w:r>
    </w:p>
    <w:p w:rsidR="00000000" w:rsidDel="00000000" w:rsidP="00000000" w:rsidRDefault="00000000" w:rsidRPr="00000000" w14:paraId="00000174">
      <w:pPr>
        <w:widowControl w:val="0"/>
        <w:spacing w:line="240" w:lineRule="auto"/>
        <w:ind w:left="640" w:hanging="640"/>
        <w:rPr>
          <w:sz w:val="24"/>
          <w:szCs w:val="24"/>
        </w:rPr>
      </w:pPr>
      <w:r w:rsidDel="00000000" w:rsidR="00000000" w:rsidRPr="00000000">
        <w:rPr>
          <w:sz w:val="24"/>
          <w:szCs w:val="24"/>
          <w:rtl w:val="0"/>
        </w:rPr>
        <w:t xml:space="preserve">4.</w:t>
        <w:tab/>
      </w:r>
      <w:r w:rsidDel="00000000" w:rsidR="00000000" w:rsidRPr="00000000">
        <w:rPr>
          <w:i w:val="1"/>
          <w:sz w:val="24"/>
          <w:szCs w:val="24"/>
          <w:rtl w:val="0"/>
        </w:rPr>
        <w:t xml:space="preserve">WHO child growth standards and the identification of severe acute malnutrition in infants and children</w:t>
      </w:r>
      <w:r w:rsidDel="00000000" w:rsidR="00000000" w:rsidRPr="00000000">
        <w:rPr>
          <w:sz w:val="24"/>
          <w:szCs w:val="24"/>
          <w:rtl w:val="0"/>
        </w:rPr>
        <w:t xml:space="preserve">.</w:t>
      </w:r>
    </w:p>
    <w:p w:rsidR="00000000" w:rsidDel="00000000" w:rsidP="00000000" w:rsidRDefault="00000000" w:rsidRPr="00000000" w14:paraId="00000175">
      <w:pPr>
        <w:widowControl w:val="0"/>
        <w:spacing w:line="240" w:lineRule="auto"/>
        <w:ind w:left="640" w:hanging="640"/>
        <w:rPr>
          <w:sz w:val="24"/>
          <w:szCs w:val="24"/>
        </w:rPr>
      </w:pPr>
      <w:r w:rsidDel="00000000" w:rsidR="00000000" w:rsidRPr="00000000">
        <w:rPr>
          <w:sz w:val="24"/>
          <w:szCs w:val="24"/>
          <w:rtl w:val="0"/>
        </w:rPr>
        <w:t xml:space="preserve">5.</w:t>
        <w:tab/>
        <w:t xml:space="preserve">Isanaka, S., Grais, R. F., Briend, A. &amp; Checchi, F. Estimates of the Duration of Untreated Acute Malnutrition in Children From Niger. </w:t>
      </w:r>
      <w:r w:rsidDel="00000000" w:rsidR="00000000" w:rsidRPr="00000000">
        <w:rPr>
          <w:i w:val="1"/>
          <w:sz w:val="24"/>
          <w:szCs w:val="24"/>
          <w:rtl w:val="0"/>
        </w:rPr>
        <w:t xml:space="preserve">Am. J. Epidemiol.</w:t>
      </w:r>
      <w:r w:rsidDel="00000000" w:rsidR="00000000" w:rsidRPr="00000000">
        <w:rPr>
          <w:sz w:val="24"/>
          <w:szCs w:val="24"/>
          <w:rtl w:val="0"/>
        </w:rPr>
        <w:t xml:space="preserve"> </w:t>
      </w:r>
      <w:r w:rsidDel="00000000" w:rsidR="00000000" w:rsidRPr="00000000">
        <w:rPr>
          <w:b w:val="1"/>
          <w:sz w:val="24"/>
          <w:szCs w:val="24"/>
          <w:rtl w:val="0"/>
        </w:rPr>
        <w:t xml:space="preserve">173</w:t>
      </w:r>
      <w:r w:rsidDel="00000000" w:rsidR="00000000" w:rsidRPr="00000000">
        <w:rPr>
          <w:sz w:val="24"/>
          <w:szCs w:val="24"/>
          <w:rtl w:val="0"/>
        </w:rPr>
        <w:t xml:space="preserve">, 932–940 (2011).</w:t>
      </w:r>
    </w:p>
    <w:p w:rsidR="00000000" w:rsidDel="00000000" w:rsidP="00000000" w:rsidRDefault="00000000" w:rsidRPr="00000000" w14:paraId="00000176">
      <w:pPr>
        <w:widowControl w:val="0"/>
        <w:spacing w:line="240" w:lineRule="auto"/>
        <w:ind w:left="640" w:hanging="640"/>
        <w:rPr>
          <w:sz w:val="24"/>
          <w:szCs w:val="24"/>
        </w:rPr>
      </w:pPr>
      <w:r w:rsidDel="00000000" w:rsidR="00000000" w:rsidRPr="00000000">
        <w:rPr>
          <w:sz w:val="24"/>
          <w:szCs w:val="24"/>
          <w:rtl w:val="0"/>
        </w:rPr>
        <w:t xml:space="preserve">6.</w:t>
        <w:tab/>
        <w:t xml:space="preserve">Frison, S., Checchi, F. &amp; Kerac, M. Omitting edema measurement: How much acute malnutrition are we missing? </w:t>
      </w:r>
      <w:r w:rsidDel="00000000" w:rsidR="00000000" w:rsidRPr="00000000">
        <w:rPr>
          <w:i w:val="1"/>
          <w:sz w:val="24"/>
          <w:szCs w:val="24"/>
          <w:rtl w:val="0"/>
        </w:rPr>
        <w:t xml:space="preserve">Am. J. Clin. Nutr.</w:t>
      </w:r>
      <w:r w:rsidDel="00000000" w:rsidR="00000000" w:rsidRPr="00000000">
        <w:rPr>
          <w:sz w:val="24"/>
          <w:szCs w:val="24"/>
          <w:rtl w:val="0"/>
        </w:rPr>
        <w:t xml:space="preserve"> </w:t>
      </w:r>
      <w:r w:rsidDel="00000000" w:rsidR="00000000" w:rsidRPr="00000000">
        <w:rPr>
          <w:b w:val="1"/>
          <w:sz w:val="24"/>
          <w:szCs w:val="24"/>
          <w:rtl w:val="0"/>
        </w:rPr>
        <w:t xml:space="preserve">102</w:t>
      </w:r>
      <w:r w:rsidDel="00000000" w:rsidR="00000000" w:rsidRPr="00000000">
        <w:rPr>
          <w:sz w:val="24"/>
          <w:szCs w:val="24"/>
          <w:rtl w:val="0"/>
        </w:rPr>
        <w:t xml:space="preserve">, 1176–1181 (2015).</w:t>
      </w:r>
    </w:p>
    <w:p w:rsidR="00000000" w:rsidDel="00000000" w:rsidP="00000000" w:rsidRDefault="00000000" w:rsidRPr="00000000" w14:paraId="00000177">
      <w:pPr>
        <w:widowControl w:val="0"/>
        <w:spacing w:line="240" w:lineRule="auto"/>
        <w:ind w:left="640" w:hanging="640"/>
        <w:rPr>
          <w:sz w:val="24"/>
          <w:szCs w:val="24"/>
        </w:rPr>
      </w:pPr>
      <w:r w:rsidDel="00000000" w:rsidR="00000000" w:rsidRPr="00000000">
        <w:rPr>
          <w:sz w:val="24"/>
          <w:szCs w:val="24"/>
          <w:rtl w:val="0"/>
        </w:rPr>
        <w:t xml:space="preserve">7.</w:t>
        <w:tab/>
        <w:t xml:space="preserve">Grellety, E. &amp; Golden, M. H. Weight-for-height and mid-upper-arm circumference should be used independently to diagnose acute malnutrition: Policy implications. </w:t>
      </w:r>
      <w:r w:rsidDel="00000000" w:rsidR="00000000" w:rsidRPr="00000000">
        <w:rPr>
          <w:i w:val="1"/>
          <w:sz w:val="24"/>
          <w:szCs w:val="24"/>
          <w:rtl w:val="0"/>
        </w:rPr>
        <w:t xml:space="preserve">BMC Nutr.</w:t>
      </w:r>
      <w:r w:rsidDel="00000000" w:rsidR="00000000" w:rsidRPr="00000000">
        <w:rPr>
          <w:sz w:val="24"/>
          <w:szCs w:val="24"/>
          <w:rtl w:val="0"/>
        </w:rPr>
        <w:t xml:space="preserve"> </w:t>
      </w:r>
      <w:r w:rsidDel="00000000" w:rsidR="00000000" w:rsidRPr="00000000">
        <w:rPr>
          <w:b w:val="1"/>
          <w:sz w:val="24"/>
          <w:szCs w:val="24"/>
          <w:rtl w:val="0"/>
        </w:rPr>
        <w:t xml:space="preserve">2</w:t>
      </w:r>
      <w:r w:rsidDel="00000000" w:rsidR="00000000" w:rsidRPr="00000000">
        <w:rPr>
          <w:sz w:val="24"/>
          <w:szCs w:val="24"/>
          <w:rtl w:val="0"/>
        </w:rPr>
        <w:t xml:space="preserve">, 1–17 (2016).</w:t>
      </w:r>
    </w:p>
    <w:p w:rsidR="00000000" w:rsidDel="00000000" w:rsidP="00000000" w:rsidRDefault="00000000" w:rsidRPr="00000000" w14:paraId="00000178">
      <w:pPr>
        <w:widowControl w:val="0"/>
        <w:spacing w:line="240" w:lineRule="auto"/>
        <w:ind w:left="640" w:hanging="640"/>
        <w:rPr>
          <w:sz w:val="24"/>
          <w:szCs w:val="24"/>
        </w:rPr>
      </w:pPr>
      <w:r w:rsidDel="00000000" w:rsidR="00000000" w:rsidRPr="00000000">
        <w:rPr>
          <w:sz w:val="24"/>
          <w:szCs w:val="24"/>
          <w:rtl w:val="0"/>
        </w:rPr>
        <w:t xml:space="preserve">8.</w:t>
        <w:tab/>
        <w:t xml:space="preserve">Ministry of Health (MOH). </w:t>
      </w:r>
      <w:r w:rsidDel="00000000" w:rsidR="00000000" w:rsidRPr="00000000">
        <w:rPr>
          <w:i w:val="1"/>
          <w:sz w:val="24"/>
          <w:szCs w:val="24"/>
          <w:rtl w:val="0"/>
        </w:rPr>
        <w:t xml:space="preserve">Malawi Guidelines for Community-Based Management of Acute Malnutrition, 2nd Edition</w:t>
      </w:r>
      <w:r w:rsidDel="00000000" w:rsidR="00000000" w:rsidRPr="00000000">
        <w:rPr>
          <w:sz w:val="24"/>
          <w:szCs w:val="24"/>
          <w:rtl w:val="0"/>
        </w:rPr>
        <w:t xml:space="preserve">. (2016).</w:t>
      </w:r>
    </w:p>
    <w:p w:rsidR="00000000" w:rsidDel="00000000" w:rsidP="00000000" w:rsidRDefault="00000000" w:rsidRPr="00000000" w14:paraId="00000179">
      <w:pPr>
        <w:widowControl w:val="0"/>
        <w:spacing w:line="240" w:lineRule="auto"/>
        <w:ind w:left="640" w:hanging="640"/>
        <w:rPr>
          <w:sz w:val="24"/>
          <w:szCs w:val="24"/>
        </w:rPr>
      </w:pPr>
      <w:r w:rsidDel="00000000" w:rsidR="00000000" w:rsidRPr="00000000">
        <w:rPr>
          <w:sz w:val="24"/>
          <w:szCs w:val="24"/>
          <w:rtl w:val="0"/>
        </w:rPr>
        <w:t xml:space="preserve">9.</w:t>
        <w:tab/>
        <w:t xml:space="preserve">Ntenda, P. A. M. &amp; Chuang, Y. C. Analysis of individual-level and community-level effects on childhood undernutrition in Malawi. </w:t>
      </w:r>
      <w:r w:rsidDel="00000000" w:rsidR="00000000" w:rsidRPr="00000000">
        <w:rPr>
          <w:i w:val="1"/>
          <w:sz w:val="24"/>
          <w:szCs w:val="24"/>
          <w:rtl w:val="0"/>
        </w:rPr>
        <w:t xml:space="preserve">Pediatr. Neonatol.</w:t>
      </w:r>
      <w:r w:rsidDel="00000000" w:rsidR="00000000" w:rsidRPr="00000000">
        <w:rPr>
          <w:sz w:val="24"/>
          <w:szCs w:val="24"/>
          <w:rtl w:val="0"/>
        </w:rPr>
        <w:t xml:space="preserve"> </w:t>
      </w:r>
      <w:r w:rsidDel="00000000" w:rsidR="00000000" w:rsidRPr="00000000">
        <w:rPr>
          <w:b w:val="1"/>
          <w:sz w:val="24"/>
          <w:szCs w:val="24"/>
          <w:rtl w:val="0"/>
        </w:rPr>
        <w:t xml:space="preserve">59</w:t>
      </w:r>
      <w:r w:rsidDel="00000000" w:rsidR="00000000" w:rsidRPr="00000000">
        <w:rPr>
          <w:sz w:val="24"/>
          <w:szCs w:val="24"/>
          <w:rtl w:val="0"/>
        </w:rPr>
        <w:t xml:space="preserve">, 380–389 (2018).</w:t>
      </w:r>
    </w:p>
    <w:p w:rsidR="00000000" w:rsidDel="00000000" w:rsidP="00000000" w:rsidRDefault="00000000" w:rsidRPr="00000000" w14:paraId="0000017A">
      <w:pPr>
        <w:widowControl w:val="0"/>
        <w:spacing w:line="240" w:lineRule="auto"/>
        <w:ind w:left="640" w:hanging="640"/>
        <w:rPr>
          <w:sz w:val="24"/>
          <w:szCs w:val="24"/>
        </w:rPr>
      </w:pPr>
      <w:r w:rsidDel="00000000" w:rsidR="00000000" w:rsidRPr="00000000">
        <w:rPr>
          <w:sz w:val="24"/>
          <w:szCs w:val="24"/>
          <w:rtl w:val="0"/>
        </w:rPr>
        <w:t xml:space="preserve">10.</w:t>
        <w:tab/>
        <w:t xml:space="preserve">Christian, P. </w:t>
      </w:r>
      <w:r w:rsidDel="00000000" w:rsidR="00000000" w:rsidRPr="00000000">
        <w:rPr>
          <w:i w:val="1"/>
          <w:sz w:val="24"/>
          <w:szCs w:val="24"/>
          <w:rtl w:val="0"/>
        </w:rPr>
        <w:t xml:space="preserve">et al.</w:t>
      </w:r>
      <w:r w:rsidDel="00000000" w:rsidR="00000000" w:rsidRPr="00000000">
        <w:rPr>
          <w:sz w:val="24"/>
          <w:szCs w:val="24"/>
          <w:rtl w:val="0"/>
        </w:rPr>
        <w:t xml:space="preserve"> Risk of childhood undernutrition related to small-for-gestational age and preterm birth in low- and middle-income countries. </w:t>
      </w:r>
      <w:r w:rsidDel="00000000" w:rsidR="00000000" w:rsidRPr="00000000">
        <w:rPr>
          <w:i w:val="1"/>
          <w:sz w:val="24"/>
          <w:szCs w:val="24"/>
          <w:rtl w:val="0"/>
        </w:rPr>
        <w:t xml:space="preserve">Int. J. Epidemiol.</w:t>
      </w:r>
      <w:r w:rsidDel="00000000" w:rsidR="00000000" w:rsidRPr="00000000">
        <w:rPr>
          <w:sz w:val="24"/>
          <w:szCs w:val="24"/>
          <w:rtl w:val="0"/>
        </w:rPr>
        <w:t xml:space="preserve"> </w:t>
      </w:r>
      <w:r w:rsidDel="00000000" w:rsidR="00000000" w:rsidRPr="00000000">
        <w:rPr>
          <w:b w:val="1"/>
          <w:sz w:val="24"/>
          <w:szCs w:val="24"/>
          <w:rtl w:val="0"/>
        </w:rPr>
        <w:t xml:space="preserve">42</w:t>
      </w:r>
      <w:r w:rsidDel="00000000" w:rsidR="00000000" w:rsidRPr="00000000">
        <w:rPr>
          <w:sz w:val="24"/>
          <w:szCs w:val="24"/>
          <w:rtl w:val="0"/>
        </w:rPr>
        <w:t xml:space="preserve">, 1340–1355 (2013).</w:t>
      </w:r>
    </w:p>
    <w:p w:rsidR="00000000" w:rsidDel="00000000" w:rsidP="00000000" w:rsidRDefault="00000000" w:rsidRPr="00000000" w14:paraId="0000017B">
      <w:pPr>
        <w:widowControl w:val="0"/>
        <w:spacing w:line="240" w:lineRule="auto"/>
        <w:ind w:left="640" w:hanging="640"/>
        <w:rPr>
          <w:sz w:val="24"/>
          <w:szCs w:val="24"/>
        </w:rPr>
      </w:pPr>
      <w:r w:rsidDel="00000000" w:rsidR="00000000" w:rsidRPr="00000000">
        <w:rPr>
          <w:sz w:val="24"/>
          <w:szCs w:val="24"/>
          <w:rtl w:val="0"/>
        </w:rPr>
        <w:t xml:space="preserve">11.</w:t>
        <w:tab/>
        <w:t xml:space="preserve">Maleta, K., Virtanen, S. M., Espo, M., Kulmala, T. &amp; Ashorn, P. Childhood malnutrition and its predictors in rural Malawi. </w:t>
      </w:r>
      <w:r w:rsidDel="00000000" w:rsidR="00000000" w:rsidRPr="00000000">
        <w:rPr>
          <w:i w:val="1"/>
          <w:sz w:val="24"/>
          <w:szCs w:val="24"/>
          <w:rtl w:val="0"/>
        </w:rPr>
        <w:t xml:space="preserve">Paediatr. Perinat. Epidemiol.</w:t>
      </w:r>
      <w:r w:rsidDel="00000000" w:rsidR="00000000" w:rsidRPr="00000000">
        <w:rPr>
          <w:sz w:val="24"/>
          <w:szCs w:val="24"/>
          <w:rtl w:val="0"/>
        </w:rPr>
        <w:t xml:space="preserve"> </w:t>
      </w:r>
      <w:r w:rsidDel="00000000" w:rsidR="00000000" w:rsidRPr="00000000">
        <w:rPr>
          <w:b w:val="1"/>
          <w:sz w:val="24"/>
          <w:szCs w:val="24"/>
          <w:rtl w:val="0"/>
        </w:rPr>
        <w:t xml:space="preserve">17</w:t>
      </w:r>
      <w:r w:rsidDel="00000000" w:rsidR="00000000" w:rsidRPr="00000000">
        <w:rPr>
          <w:sz w:val="24"/>
          <w:szCs w:val="24"/>
          <w:rtl w:val="0"/>
        </w:rPr>
        <w:t xml:space="preserve">, 384–390 (2003).</w:t>
      </w:r>
    </w:p>
    <w:p w:rsidR="00000000" w:rsidDel="00000000" w:rsidP="00000000" w:rsidRDefault="00000000" w:rsidRPr="00000000" w14:paraId="0000017C">
      <w:pPr>
        <w:widowControl w:val="0"/>
        <w:spacing w:line="240" w:lineRule="auto"/>
        <w:ind w:left="640" w:hanging="640"/>
        <w:rPr>
          <w:sz w:val="24"/>
          <w:szCs w:val="24"/>
        </w:rPr>
      </w:pPr>
      <w:r w:rsidDel="00000000" w:rsidR="00000000" w:rsidRPr="00000000">
        <w:rPr>
          <w:sz w:val="24"/>
          <w:szCs w:val="24"/>
          <w:rtl w:val="0"/>
        </w:rPr>
        <w:t xml:space="preserve">12.</w:t>
        <w:tab/>
        <w:t xml:space="preserve">Alvarez, J. L., Dent, N., Browne, L., Myatt, M. &amp; Briend, A. Mid-Upper Arm Circumference (MUAC) shows strong geographical variations in children with edema: Results from 2277 surveys in 55 countries. </w:t>
      </w:r>
      <w:r w:rsidDel="00000000" w:rsidR="00000000" w:rsidRPr="00000000">
        <w:rPr>
          <w:i w:val="1"/>
          <w:sz w:val="24"/>
          <w:szCs w:val="24"/>
          <w:rtl w:val="0"/>
        </w:rPr>
        <w:t xml:space="preserve">Arch. Public Heal.</w:t>
      </w:r>
      <w:r w:rsidDel="00000000" w:rsidR="00000000" w:rsidRPr="00000000">
        <w:rPr>
          <w:sz w:val="24"/>
          <w:szCs w:val="24"/>
          <w:rtl w:val="0"/>
        </w:rPr>
        <w:t xml:space="preserve"> </w:t>
      </w:r>
      <w:r w:rsidDel="00000000" w:rsidR="00000000" w:rsidRPr="00000000">
        <w:rPr>
          <w:b w:val="1"/>
          <w:sz w:val="24"/>
          <w:szCs w:val="24"/>
          <w:rtl w:val="0"/>
        </w:rPr>
        <w:t xml:space="preserve">76</w:t>
      </w:r>
      <w:r w:rsidDel="00000000" w:rsidR="00000000" w:rsidRPr="00000000">
        <w:rPr>
          <w:sz w:val="24"/>
          <w:szCs w:val="24"/>
          <w:rtl w:val="0"/>
        </w:rPr>
        <w:t xml:space="preserve">, 1–10 (2018).</w:t>
      </w:r>
    </w:p>
    <w:p w:rsidR="00000000" w:rsidDel="00000000" w:rsidP="00000000" w:rsidRDefault="00000000" w:rsidRPr="00000000" w14:paraId="0000017D">
      <w:pPr>
        <w:widowControl w:val="0"/>
        <w:spacing w:line="240" w:lineRule="auto"/>
        <w:ind w:left="640" w:hanging="640"/>
        <w:rPr>
          <w:sz w:val="24"/>
          <w:szCs w:val="24"/>
        </w:rPr>
      </w:pPr>
      <w:r w:rsidDel="00000000" w:rsidR="00000000" w:rsidRPr="00000000">
        <w:rPr>
          <w:sz w:val="24"/>
          <w:szCs w:val="24"/>
          <w:rtl w:val="0"/>
        </w:rPr>
        <w:t xml:space="preserve">13.</w:t>
        <w:tab/>
        <w:t xml:space="preserve">Lenters, L., Wazny, K. &amp; Bhutta, Z. A. Management of Severe and Moderate Acute Malnutrition in Children. in </w:t>
      </w:r>
      <w:r w:rsidDel="00000000" w:rsidR="00000000" w:rsidRPr="00000000">
        <w:rPr>
          <w:i w:val="1"/>
          <w:sz w:val="24"/>
          <w:szCs w:val="24"/>
          <w:rtl w:val="0"/>
        </w:rPr>
        <w:t xml:space="preserve">Disease Control Priorities, Third Edition (Volume 2): Reproductive, Maternal, Newborn, and Child Health</w:t>
      </w:r>
      <w:r w:rsidDel="00000000" w:rsidR="00000000" w:rsidRPr="00000000">
        <w:rPr>
          <w:sz w:val="24"/>
          <w:szCs w:val="24"/>
          <w:rtl w:val="0"/>
        </w:rPr>
        <w:t xml:space="preserve"> 205–223 (The World Bank, 2016). doi:10.1596/978-1-4648-0348-2_ch11</w:t>
      </w:r>
    </w:p>
    <w:p w:rsidR="00000000" w:rsidDel="00000000" w:rsidP="00000000" w:rsidRDefault="00000000" w:rsidRPr="00000000" w14:paraId="0000017E">
      <w:pPr>
        <w:widowControl w:val="0"/>
        <w:spacing w:line="240" w:lineRule="auto"/>
        <w:ind w:left="640" w:hanging="640"/>
        <w:rPr>
          <w:sz w:val="24"/>
          <w:szCs w:val="24"/>
        </w:rPr>
      </w:pPr>
      <w:r w:rsidDel="00000000" w:rsidR="00000000" w:rsidRPr="00000000">
        <w:rPr>
          <w:sz w:val="24"/>
          <w:szCs w:val="24"/>
          <w:rtl w:val="0"/>
        </w:rPr>
        <w:t xml:space="preserve">14.</w:t>
        <w:tab/>
        <w:t xml:space="preserve">Maleta, K. &amp; Amadi, B. Community-based management of acute malnutrition (CMAM) in sub-Saharan Africa: Case studies from Ghana, Malawi, and Zambia. </w:t>
      </w:r>
      <w:r w:rsidDel="00000000" w:rsidR="00000000" w:rsidRPr="00000000">
        <w:rPr>
          <w:i w:val="1"/>
          <w:sz w:val="24"/>
          <w:szCs w:val="24"/>
          <w:rtl w:val="0"/>
        </w:rPr>
        <w:t xml:space="preserve">Food Nutr. Bull.</w:t>
      </w:r>
      <w:r w:rsidDel="00000000" w:rsidR="00000000" w:rsidRPr="00000000">
        <w:rPr>
          <w:sz w:val="24"/>
          <w:szCs w:val="24"/>
          <w:rtl w:val="0"/>
        </w:rPr>
        <w:t xml:space="preserve"> </w:t>
      </w:r>
      <w:r w:rsidDel="00000000" w:rsidR="00000000" w:rsidRPr="00000000">
        <w:rPr>
          <w:b w:val="1"/>
          <w:sz w:val="24"/>
          <w:szCs w:val="24"/>
          <w:rtl w:val="0"/>
        </w:rPr>
        <w:t xml:space="preserve">35</w:t>
      </w:r>
      <w:r w:rsidDel="00000000" w:rsidR="00000000" w:rsidRPr="00000000">
        <w:rPr>
          <w:sz w:val="24"/>
          <w:szCs w:val="24"/>
          <w:rtl w:val="0"/>
        </w:rPr>
        <w:t xml:space="preserve">, S34–S38 (2014).</w:t>
      </w:r>
    </w:p>
    <w:p w:rsidR="00000000" w:rsidDel="00000000" w:rsidP="00000000" w:rsidRDefault="00000000" w:rsidRPr="00000000" w14:paraId="0000017F">
      <w:pPr>
        <w:widowControl w:val="0"/>
        <w:spacing w:line="240" w:lineRule="auto"/>
        <w:ind w:left="640" w:hanging="640"/>
        <w:rPr>
          <w:sz w:val="24"/>
          <w:szCs w:val="24"/>
        </w:rPr>
      </w:pPr>
      <w:r w:rsidDel="00000000" w:rsidR="00000000" w:rsidRPr="00000000">
        <w:rPr>
          <w:sz w:val="24"/>
          <w:szCs w:val="24"/>
          <w:rtl w:val="0"/>
        </w:rPr>
        <w:t xml:space="preserve">15.</w:t>
        <w:tab/>
        <w:t xml:space="preserve">Schoonees, A., Lombard, M. J., Musekiwa, A., Nel, E. &amp; Volmink, J. Ready-to-use therapeutic food (RUTF) for home-based nutritional rehabilitation of severe acute malnutrition in children from six months to five years of age. </w:t>
      </w:r>
      <w:r w:rsidDel="00000000" w:rsidR="00000000" w:rsidRPr="00000000">
        <w:rPr>
          <w:i w:val="1"/>
          <w:sz w:val="24"/>
          <w:szCs w:val="24"/>
          <w:rtl w:val="0"/>
        </w:rPr>
        <w:t xml:space="preserve">Cochrane Database of Systematic Reviews</w:t>
      </w:r>
      <w:r w:rsidDel="00000000" w:rsidR="00000000" w:rsidRPr="00000000">
        <w:rPr>
          <w:sz w:val="24"/>
          <w:szCs w:val="24"/>
          <w:rtl w:val="0"/>
        </w:rPr>
        <w:t xml:space="preserve"> </w:t>
      </w:r>
      <w:r w:rsidDel="00000000" w:rsidR="00000000" w:rsidRPr="00000000">
        <w:rPr>
          <w:b w:val="1"/>
          <w:sz w:val="24"/>
          <w:szCs w:val="24"/>
          <w:rtl w:val="0"/>
        </w:rPr>
        <w:t xml:space="preserve">2019</w:t>
      </w:r>
      <w:r w:rsidDel="00000000" w:rsidR="00000000" w:rsidRPr="00000000">
        <w:rPr>
          <w:sz w:val="24"/>
          <w:szCs w:val="24"/>
          <w:rtl w:val="0"/>
        </w:rPr>
        <w:t xml:space="preserve">, (2019).</w:t>
      </w:r>
    </w:p>
    <w:p w:rsidR="00000000" w:rsidDel="00000000" w:rsidP="00000000" w:rsidRDefault="00000000" w:rsidRPr="00000000" w14:paraId="00000180">
      <w:pPr>
        <w:widowControl w:val="0"/>
        <w:spacing w:line="240" w:lineRule="auto"/>
        <w:ind w:left="640" w:hanging="640"/>
        <w:rPr>
          <w:sz w:val="24"/>
          <w:szCs w:val="24"/>
        </w:rPr>
      </w:pPr>
      <w:r w:rsidDel="00000000" w:rsidR="00000000" w:rsidRPr="00000000">
        <w:rPr>
          <w:sz w:val="24"/>
          <w:szCs w:val="24"/>
          <w:rtl w:val="0"/>
        </w:rPr>
        <w:t xml:space="preserve">16.</w:t>
        <w:tab/>
        <w:t xml:space="preserve">Stobaugh, H. C. </w:t>
      </w:r>
      <w:r w:rsidDel="00000000" w:rsidR="00000000" w:rsidRPr="00000000">
        <w:rPr>
          <w:i w:val="1"/>
          <w:sz w:val="24"/>
          <w:szCs w:val="24"/>
          <w:rtl w:val="0"/>
        </w:rPr>
        <w:t xml:space="preserve">et al.</w:t>
      </w:r>
      <w:r w:rsidDel="00000000" w:rsidR="00000000" w:rsidRPr="00000000">
        <w:rPr>
          <w:sz w:val="24"/>
          <w:szCs w:val="24"/>
          <w:rtl w:val="0"/>
        </w:rPr>
        <w:t xml:space="preserve"> Including whey protein and whey permeate in ready-to-use supplementary food improves recovery rates in children with moderate acute malnutrition: A randomized, double-blind clinical trial. </w:t>
      </w:r>
      <w:r w:rsidDel="00000000" w:rsidR="00000000" w:rsidRPr="00000000">
        <w:rPr>
          <w:i w:val="1"/>
          <w:sz w:val="24"/>
          <w:szCs w:val="24"/>
          <w:rtl w:val="0"/>
        </w:rPr>
        <w:t xml:space="preserve">Am. J. Clin. Nutr.</w:t>
      </w:r>
      <w:r w:rsidDel="00000000" w:rsidR="00000000" w:rsidRPr="00000000">
        <w:rPr>
          <w:sz w:val="24"/>
          <w:szCs w:val="24"/>
          <w:rtl w:val="0"/>
        </w:rPr>
        <w:t xml:space="preserve"> </w:t>
      </w:r>
      <w:r w:rsidDel="00000000" w:rsidR="00000000" w:rsidRPr="00000000">
        <w:rPr>
          <w:b w:val="1"/>
          <w:sz w:val="24"/>
          <w:szCs w:val="24"/>
          <w:rtl w:val="0"/>
        </w:rPr>
        <w:t xml:space="preserve">103</w:t>
      </w:r>
      <w:r w:rsidDel="00000000" w:rsidR="00000000" w:rsidRPr="00000000">
        <w:rPr>
          <w:sz w:val="24"/>
          <w:szCs w:val="24"/>
          <w:rtl w:val="0"/>
        </w:rPr>
        <w:t xml:space="preserve">, 926–933 (2016).</w:t>
      </w:r>
    </w:p>
    <w:p w:rsidR="00000000" w:rsidDel="00000000" w:rsidP="00000000" w:rsidRDefault="00000000" w:rsidRPr="00000000" w14:paraId="00000181">
      <w:pPr>
        <w:widowControl w:val="0"/>
        <w:spacing w:line="240" w:lineRule="auto"/>
        <w:ind w:left="640" w:hanging="640"/>
        <w:rPr>
          <w:sz w:val="24"/>
          <w:szCs w:val="24"/>
        </w:rPr>
      </w:pPr>
      <w:r w:rsidDel="00000000" w:rsidR="00000000" w:rsidRPr="00000000">
        <w:rPr>
          <w:sz w:val="24"/>
          <w:szCs w:val="24"/>
          <w:rtl w:val="0"/>
        </w:rPr>
        <w:t xml:space="preserve">17.</w:t>
        <w:tab/>
        <w:t xml:space="preserve">Lagrone, L., Cole, S., Schondelmeyer, A., Maleta, K. &amp; Manary, M. J. Locally produced ready-to-use supplementary food is an effective treatment of moderate acute malnutrition in an operational setting. </w:t>
      </w:r>
      <w:r w:rsidDel="00000000" w:rsidR="00000000" w:rsidRPr="00000000">
        <w:rPr>
          <w:i w:val="1"/>
          <w:sz w:val="24"/>
          <w:szCs w:val="24"/>
          <w:rtl w:val="0"/>
        </w:rPr>
        <w:t xml:space="preserve">Ann. Trop. Paediatr.</w:t>
      </w:r>
      <w:r w:rsidDel="00000000" w:rsidR="00000000" w:rsidRPr="00000000">
        <w:rPr>
          <w:sz w:val="24"/>
          <w:szCs w:val="24"/>
          <w:rtl w:val="0"/>
        </w:rPr>
        <w:t xml:space="preserve"> </w:t>
      </w:r>
      <w:r w:rsidDel="00000000" w:rsidR="00000000" w:rsidRPr="00000000">
        <w:rPr>
          <w:b w:val="1"/>
          <w:sz w:val="24"/>
          <w:szCs w:val="24"/>
          <w:rtl w:val="0"/>
        </w:rPr>
        <w:t xml:space="preserve">30</w:t>
      </w:r>
      <w:r w:rsidDel="00000000" w:rsidR="00000000" w:rsidRPr="00000000">
        <w:rPr>
          <w:sz w:val="24"/>
          <w:szCs w:val="24"/>
          <w:rtl w:val="0"/>
        </w:rPr>
        <w:t xml:space="preserve">, 103–108 (2010).</w:t>
      </w:r>
    </w:p>
    <w:p w:rsidR="00000000" w:rsidDel="00000000" w:rsidP="00000000" w:rsidRDefault="00000000" w:rsidRPr="00000000" w14:paraId="00000182">
      <w:pPr>
        <w:widowControl w:val="0"/>
        <w:spacing w:line="240" w:lineRule="auto"/>
        <w:ind w:left="640" w:hanging="640"/>
        <w:rPr>
          <w:sz w:val="24"/>
          <w:szCs w:val="24"/>
        </w:rPr>
      </w:pPr>
      <w:r w:rsidDel="00000000" w:rsidR="00000000" w:rsidRPr="00000000">
        <w:rPr>
          <w:sz w:val="24"/>
          <w:szCs w:val="24"/>
          <w:rtl w:val="0"/>
        </w:rPr>
        <w:t xml:space="preserve">18.</w:t>
        <w:tab/>
        <w:t xml:space="preserve">Desyibelew, H. D., Bayih, M. T., Baraki, A. G. &amp; Dadi, A. F. The recovery rate from severe acute malnutrition among under-five years of children remains low in sub-Saharan Africa. A systematic review and meta-analysis of observational studies. </w:t>
      </w:r>
      <w:r w:rsidDel="00000000" w:rsidR="00000000" w:rsidRPr="00000000">
        <w:rPr>
          <w:i w:val="1"/>
          <w:sz w:val="24"/>
          <w:szCs w:val="24"/>
          <w:rtl w:val="0"/>
        </w:rPr>
        <w:t xml:space="preserve">PLoS One</w:t>
      </w:r>
      <w:r w:rsidDel="00000000" w:rsidR="00000000" w:rsidRPr="00000000">
        <w:rPr>
          <w:sz w:val="24"/>
          <w:szCs w:val="24"/>
          <w:rtl w:val="0"/>
        </w:rPr>
        <w:t xml:space="preserve"> </w:t>
      </w:r>
      <w:r w:rsidDel="00000000" w:rsidR="00000000" w:rsidRPr="00000000">
        <w:rPr>
          <w:b w:val="1"/>
          <w:sz w:val="24"/>
          <w:szCs w:val="24"/>
          <w:rtl w:val="0"/>
        </w:rPr>
        <w:t xml:space="preserve">15</w:t>
      </w:r>
      <w:r w:rsidDel="00000000" w:rsidR="00000000" w:rsidRPr="00000000">
        <w:rPr>
          <w:sz w:val="24"/>
          <w:szCs w:val="24"/>
          <w:rtl w:val="0"/>
        </w:rPr>
        <w:t xml:space="preserve">, (2020).</w:t>
      </w:r>
    </w:p>
    <w:p w:rsidR="00000000" w:rsidDel="00000000" w:rsidP="00000000" w:rsidRDefault="00000000" w:rsidRPr="00000000" w14:paraId="00000183">
      <w:pPr>
        <w:widowControl w:val="0"/>
        <w:spacing w:line="240" w:lineRule="auto"/>
        <w:ind w:left="640" w:hanging="640"/>
        <w:rPr>
          <w:sz w:val="24"/>
          <w:szCs w:val="24"/>
        </w:rPr>
      </w:pPr>
      <w:r w:rsidDel="00000000" w:rsidR="00000000" w:rsidRPr="00000000">
        <w:rPr>
          <w:sz w:val="24"/>
          <w:szCs w:val="24"/>
          <w:rtl w:val="0"/>
        </w:rPr>
        <w:t xml:space="preserve">19.</w:t>
        <w:tab/>
        <w:t xml:space="preserve">Grellety, E. &amp; Golden, M. H. Severely malnourished children with a low weight-for-height have a higher mortality than those with a low mid-upper-arm-circumference: I. Empirical data demonstrates Simpson’s paradox. </w:t>
      </w:r>
      <w:r w:rsidDel="00000000" w:rsidR="00000000" w:rsidRPr="00000000">
        <w:rPr>
          <w:i w:val="1"/>
          <w:sz w:val="24"/>
          <w:szCs w:val="24"/>
          <w:rtl w:val="0"/>
        </w:rPr>
        <w:t xml:space="preserve">Nutr. J.</w:t>
      </w:r>
      <w:r w:rsidDel="00000000" w:rsidR="00000000" w:rsidRPr="00000000">
        <w:rPr>
          <w:sz w:val="24"/>
          <w:szCs w:val="24"/>
          <w:rtl w:val="0"/>
        </w:rPr>
        <w:t xml:space="preserve"> </w:t>
      </w:r>
      <w:r w:rsidDel="00000000" w:rsidR="00000000" w:rsidRPr="00000000">
        <w:rPr>
          <w:b w:val="1"/>
          <w:sz w:val="24"/>
          <w:szCs w:val="24"/>
          <w:rtl w:val="0"/>
        </w:rPr>
        <w:t xml:space="preserve">17</w:t>
      </w:r>
      <w:r w:rsidDel="00000000" w:rsidR="00000000" w:rsidRPr="00000000">
        <w:rPr>
          <w:sz w:val="24"/>
          <w:szCs w:val="24"/>
          <w:rtl w:val="0"/>
        </w:rPr>
        <w:t xml:space="preserve">, (2018).</w:t>
      </w:r>
    </w:p>
    <w:p w:rsidR="00000000" w:rsidDel="00000000" w:rsidP="00000000" w:rsidRDefault="00000000" w:rsidRPr="00000000" w14:paraId="00000184">
      <w:pPr>
        <w:widowControl w:val="0"/>
        <w:spacing w:line="240" w:lineRule="auto"/>
        <w:ind w:left="640" w:hanging="640"/>
        <w:rPr>
          <w:sz w:val="24"/>
          <w:szCs w:val="24"/>
        </w:rPr>
      </w:pPr>
      <w:r w:rsidDel="00000000" w:rsidR="00000000" w:rsidRPr="00000000">
        <w:rPr>
          <w:sz w:val="24"/>
          <w:szCs w:val="24"/>
          <w:rtl w:val="0"/>
        </w:rPr>
        <w:t xml:space="preserve">20.</w:t>
        <w:tab/>
        <w:t xml:space="preserve">CORTASAM. </w:t>
      </w:r>
      <w:r w:rsidDel="00000000" w:rsidR="00000000" w:rsidRPr="00000000">
        <w:rPr>
          <w:i w:val="1"/>
          <w:sz w:val="24"/>
          <w:szCs w:val="24"/>
          <w:rtl w:val="0"/>
        </w:rPr>
        <w:t xml:space="preserve">GUIDANCE TO IMPROVE THE COLLECTING AND REPORTING OF DATA ON RELAPSE IN CHILDREN FOLLOWING TREATMENT IN WASTING PROGRAMMES</w:t>
      </w:r>
      <w:r w:rsidDel="00000000" w:rsidR="00000000" w:rsidRPr="00000000">
        <w:rPr>
          <w:sz w:val="24"/>
          <w:szCs w:val="24"/>
          <w:rtl w:val="0"/>
        </w:rPr>
        <w:t xml:space="preserve">. (2020).</w:t>
      </w:r>
    </w:p>
    <w:p w:rsidR="00000000" w:rsidDel="00000000" w:rsidP="00000000" w:rsidRDefault="00000000" w:rsidRPr="00000000" w14:paraId="00000185">
      <w:pPr>
        <w:widowControl w:val="0"/>
        <w:spacing w:line="240" w:lineRule="auto"/>
        <w:ind w:left="640" w:hanging="640"/>
        <w:rPr>
          <w:sz w:val="24"/>
          <w:szCs w:val="24"/>
        </w:rPr>
      </w:pPr>
      <w:r w:rsidDel="00000000" w:rsidR="00000000" w:rsidRPr="00000000">
        <w:rPr>
          <w:sz w:val="24"/>
          <w:szCs w:val="24"/>
          <w:rtl w:val="0"/>
        </w:rPr>
        <w:t xml:space="preserve">21.</w:t>
        <w:tab/>
        <w:t xml:space="preserve">Fenske, N., Burns, J., Hothorn, T. &amp; Rehfuess, E. A. Understanding child stunting in India: A comprehensive analysis of socio-economic, nutritional and environmental determinants using additive quantile regression. </w:t>
      </w:r>
      <w:r w:rsidDel="00000000" w:rsidR="00000000" w:rsidRPr="00000000">
        <w:rPr>
          <w:i w:val="1"/>
          <w:sz w:val="24"/>
          <w:szCs w:val="24"/>
          <w:rtl w:val="0"/>
        </w:rPr>
        <w:t xml:space="preserve">PLoS One</w:t>
      </w:r>
      <w:r w:rsidDel="00000000" w:rsidR="00000000" w:rsidRPr="00000000">
        <w:rPr>
          <w:sz w:val="24"/>
          <w:szCs w:val="24"/>
          <w:rtl w:val="0"/>
        </w:rPr>
        <w:t xml:space="preserve"> </w:t>
      </w:r>
      <w:r w:rsidDel="00000000" w:rsidR="00000000" w:rsidRPr="00000000">
        <w:rPr>
          <w:b w:val="1"/>
          <w:sz w:val="24"/>
          <w:szCs w:val="24"/>
          <w:rtl w:val="0"/>
        </w:rPr>
        <w:t xml:space="preserve">8</w:t>
      </w:r>
      <w:r w:rsidDel="00000000" w:rsidR="00000000" w:rsidRPr="00000000">
        <w:rPr>
          <w:sz w:val="24"/>
          <w:szCs w:val="24"/>
          <w:rtl w:val="0"/>
        </w:rPr>
        <w:t xml:space="preserve">, e78692 (2013).</w:t>
      </w:r>
    </w:p>
    <w:p w:rsidR="00000000" w:rsidDel="00000000" w:rsidP="00000000" w:rsidRDefault="00000000" w:rsidRPr="00000000" w14:paraId="00000186">
      <w:pPr>
        <w:widowControl w:val="0"/>
        <w:spacing w:line="240" w:lineRule="auto"/>
        <w:ind w:left="640" w:hanging="640"/>
        <w:rPr>
          <w:sz w:val="24"/>
          <w:szCs w:val="24"/>
        </w:rPr>
      </w:pPr>
      <w:r w:rsidDel="00000000" w:rsidR="00000000" w:rsidRPr="00000000">
        <w:rPr>
          <w:sz w:val="24"/>
          <w:szCs w:val="24"/>
          <w:rtl w:val="0"/>
        </w:rPr>
        <w:t xml:space="preserve">22.</w:t>
        <w:tab/>
        <w:t xml:space="preserve">World Health Organization. </w:t>
      </w:r>
      <w:r w:rsidDel="00000000" w:rsidR="00000000" w:rsidRPr="00000000">
        <w:rPr>
          <w:i w:val="1"/>
          <w:sz w:val="24"/>
          <w:szCs w:val="24"/>
          <w:rtl w:val="0"/>
        </w:rPr>
        <w:t xml:space="preserve">Reducing Stunting in Children: Equity considerations for achieving the Global Nutrition Targets 2025</w:t>
      </w:r>
      <w:r w:rsidDel="00000000" w:rsidR="00000000" w:rsidRPr="00000000">
        <w:rPr>
          <w:sz w:val="24"/>
          <w:szCs w:val="24"/>
          <w:rtl w:val="0"/>
        </w:rPr>
        <w:t xml:space="preserve">. (2018).</w:t>
      </w:r>
    </w:p>
    <w:p w:rsidR="00000000" w:rsidDel="00000000" w:rsidP="00000000" w:rsidRDefault="00000000" w:rsidRPr="00000000" w14:paraId="00000187">
      <w:pPr>
        <w:widowControl w:val="0"/>
        <w:spacing w:line="240" w:lineRule="auto"/>
        <w:ind w:left="640" w:hanging="640"/>
        <w:rPr>
          <w:sz w:val="24"/>
          <w:szCs w:val="24"/>
        </w:rPr>
      </w:pPr>
      <w:r w:rsidDel="00000000" w:rsidR="00000000" w:rsidRPr="00000000">
        <w:rPr>
          <w:sz w:val="24"/>
          <w:szCs w:val="24"/>
          <w:rtl w:val="0"/>
        </w:rPr>
        <w:t xml:space="preserve">23.</w:t>
        <w:tab/>
        <w:t xml:space="preserve">Wright, C. M. </w:t>
      </w:r>
      <w:r w:rsidDel="00000000" w:rsidR="00000000" w:rsidRPr="00000000">
        <w:rPr>
          <w:i w:val="1"/>
          <w:sz w:val="24"/>
          <w:szCs w:val="24"/>
          <w:rtl w:val="0"/>
        </w:rPr>
        <w:t xml:space="preserve">et al.</w:t>
      </w:r>
      <w:r w:rsidDel="00000000" w:rsidR="00000000" w:rsidRPr="00000000">
        <w:rPr>
          <w:sz w:val="24"/>
          <w:szCs w:val="24"/>
          <w:rtl w:val="0"/>
        </w:rPr>
        <w:t xml:space="preserve"> Wasting and Stunting in Infants and Young Children as Risk Factors for Subsequent Stunting or Mortality: Longitudinal Analysis of Data from Malawi, South Africa, and Pakistan. </w:t>
      </w:r>
      <w:r w:rsidDel="00000000" w:rsidR="00000000" w:rsidRPr="00000000">
        <w:rPr>
          <w:i w:val="1"/>
          <w:sz w:val="24"/>
          <w:szCs w:val="24"/>
          <w:rtl w:val="0"/>
        </w:rPr>
        <w:t xml:space="preserve">J. Nutr.</w:t>
      </w:r>
      <w:r w:rsidDel="00000000" w:rsidR="00000000" w:rsidRPr="00000000">
        <w:rPr>
          <w:sz w:val="24"/>
          <w:szCs w:val="24"/>
          <w:rtl w:val="0"/>
        </w:rPr>
        <w:t xml:space="preserve"> (2021). doi:10.1093/jn/nxab054</w:t>
      </w:r>
    </w:p>
    <w:p w:rsidR="00000000" w:rsidDel="00000000" w:rsidP="00000000" w:rsidRDefault="00000000" w:rsidRPr="00000000" w14:paraId="00000188">
      <w:pPr>
        <w:widowControl w:val="0"/>
        <w:spacing w:line="240" w:lineRule="auto"/>
        <w:ind w:left="640" w:hanging="640"/>
        <w:rPr>
          <w:sz w:val="24"/>
          <w:szCs w:val="24"/>
        </w:rPr>
      </w:pPr>
      <w:r w:rsidDel="00000000" w:rsidR="00000000" w:rsidRPr="00000000">
        <w:rPr>
          <w:sz w:val="24"/>
          <w:szCs w:val="24"/>
          <w:rtl w:val="0"/>
        </w:rPr>
        <w:t xml:space="preserve">24.</w:t>
        <w:tab/>
        <w:t xml:space="preserve">Bhutta, Z. A. </w:t>
      </w:r>
      <w:r w:rsidDel="00000000" w:rsidR="00000000" w:rsidRPr="00000000">
        <w:rPr>
          <w:i w:val="1"/>
          <w:sz w:val="24"/>
          <w:szCs w:val="24"/>
          <w:rtl w:val="0"/>
        </w:rPr>
        <w:t xml:space="preserve">et al.</w:t>
      </w:r>
      <w:r w:rsidDel="00000000" w:rsidR="00000000" w:rsidRPr="00000000">
        <w:rPr>
          <w:sz w:val="24"/>
          <w:szCs w:val="24"/>
          <w:rtl w:val="0"/>
        </w:rPr>
        <w:t xml:space="preserve"> What works? Interventions for maternal and child undernutrition and survival. </w:t>
      </w:r>
      <w:r w:rsidDel="00000000" w:rsidR="00000000" w:rsidRPr="00000000">
        <w:rPr>
          <w:i w:val="1"/>
          <w:sz w:val="24"/>
          <w:szCs w:val="24"/>
          <w:rtl w:val="0"/>
        </w:rPr>
        <w:t xml:space="preserve">The Lancet</w:t>
      </w:r>
      <w:r w:rsidDel="00000000" w:rsidR="00000000" w:rsidRPr="00000000">
        <w:rPr>
          <w:sz w:val="24"/>
          <w:szCs w:val="24"/>
          <w:rtl w:val="0"/>
        </w:rPr>
        <w:t xml:space="preserve"> </w:t>
      </w:r>
      <w:r w:rsidDel="00000000" w:rsidR="00000000" w:rsidRPr="00000000">
        <w:rPr>
          <w:b w:val="1"/>
          <w:sz w:val="24"/>
          <w:szCs w:val="24"/>
          <w:rtl w:val="0"/>
        </w:rPr>
        <w:t xml:space="preserve">371</w:t>
      </w:r>
      <w:r w:rsidDel="00000000" w:rsidR="00000000" w:rsidRPr="00000000">
        <w:rPr>
          <w:sz w:val="24"/>
          <w:szCs w:val="24"/>
          <w:rtl w:val="0"/>
        </w:rPr>
        <w:t xml:space="preserve">, 417–440 (2008).</w:t>
      </w:r>
    </w:p>
    <w:p w:rsidR="00000000" w:rsidDel="00000000" w:rsidP="00000000" w:rsidRDefault="00000000" w:rsidRPr="00000000" w14:paraId="00000189">
      <w:pPr>
        <w:widowControl w:val="0"/>
        <w:spacing w:line="240" w:lineRule="auto"/>
        <w:ind w:left="640" w:hanging="640"/>
        <w:rPr>
          <w:sz w:val="24"/>
          <w:szCs w:val="24"/>
        </w:rPr>
      </w:pPr>
      <w:r w:rsidDel="00000000" w:rsidR="00000000" w:rsidRPr="00000000">
        <w:rPr>
          <w:sz w:val="24"/>
          <w:szCs w:val="24"/>
          <w:rtl w:val="0"/>
        </w:rPr>
        <w:t xml:space="preserve">25.</w:t>
        <w:tab/>
        <w:t xml:space="preserve">Pajogo, M., Ndholvu, M., Chamambala, P., &amp; Nyondo, W. (2023). </w:t>
      </w:r>
      <w:r w:rsidDel="00000000" w:rsidR="00000000" w:rsidRPr="00000000">
        <w:rPr>
          <w:i w:val="1"/>
          <w:sz w:val="24"/>
          <w:szCs w:val="24"/>
          <w:rtl w:val="0"/>
        </w:rPr>
        <w:t xml:space="preserve">Time to death and predictors of mortality among under-five children with severe acute malnutrition hospitalized at Mulanje District Hospital in Southern Malawi: A retrospective cohort study</w:t>
      </w:r>
      <w:r w:rsidDel="00000000" w:rsidR="00000000" w:rsidRPr="00000000">
        <w:rPr>
          <w:sz w:val="24"/>
          <w:szCs w:val="24"/>
          <w:rtl w:val="0"/>
        </w:rPr>
        <w:t xml:space="preserve">. https://doi.org/10.21203/rs.3.rs-3408843/v1</w:t>
      </w:r>
    </w:p>
    <w:p w:rsidR="00000000" w:rsidDel="00000000" w:rsidP="00000000" w:rsidRDefault="00000000" w:rsidRPr="00000000" w14:paraId="0000018A">
      <w:pPr>
        <w:widowControl w:val="0"/>
        <w:spacing w:line="240" w:lineRule="auto"/>
        <w:ind w:left="640" w:hanging="640"/>
        <w:rPr>
          <w:sz w:val="24"/>
          <w:szCs w:val="24"/>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sectPr>
      <w:head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3"/>
        <w:szCs w:val="23"/>
        <w:lang w:val="en-GB"/>
      </w:rPr>
    </w:rPrDefault>
    <w:pPrDefault>
      <w:pPr>
        <w:spacing w:line="276"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ind w:firstLine="0"/>
    </w:pPr>
    <w:rPr>
      <w:b w:val="1"/>
      <w:color w:val="1f4e79"/>
      <w:sz w:val="25"/>
      <w:szCs w:val="25"/>
    </w:rPr>
  </w:style>
  <w:style w:type="paragraph" w:styleId="Heading2">
    <w:name w:val="heading 2"/>
    <w:basedOn w:val="Normal"/>
    <w:next w:val="Normal"/>
    <w:pPr>
      <w:keepNext w:val="1"/>
      <w:keepLines w:val="1"/>
      <w:spacing w:before="40" w:lineRule="auto"/>
      <w:ind w:firstLine="0"/>
    </w:pPr>
    <w:rPr>
      <w:b w:val="1"/>
      <w:color w:val="1f3864"/>
      <w:sz w:val="24"/>
      <w:szCs w:val="24"/>
    </w:rPr>
  </w:style>
  <w:style w:type="paragraph" w:styleId="Heading3">
    <w:name w:val="heading 3"/>
    <w:basedOn w:val="Normal"/>
    <w:next w:val="Normal"/>
    <w:pPr>
      <w:keepNext w:val="1"/>
      <w:keepLines w:val="1"/>
      <w:spacing w:before="40" w:lineRule="auto"/>
      <w:ind w:firstLine="0"/>
    </w:pPr>
    <w:rPr>
      <w:b w:val="1"/>
      <w:color w:val="323e4f"/>
    </w:rPr>
  </w:style>
  <w:style w:type="paragraph" w:styleId="Heading4">
    <w:name w:val="heading 4"/>
    <w:basedOn w:val="Normal"/>
    <w:next w:val="Normal"/>
    <w:pPr>
      <w:keepNext w:val="1"/>
      <w:keepLines w:val="1"/>
      <w:spacing w:before="40" w:lineRule="auto"/>
      <w:ind w:firstLine="0"/>
    </w:pPr>
    <w:rPr>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ind w:firstLine="0"/>
    </w:pPr>
    <w:rPr>
      <w:b w:val="1"/>
      <w:color w:val="1f4e79"/>
      <w:sz w:val="25"/>
      <w:szCs w:val="25"/>
    </w:rPr>
  </w:style>
  <w:style w:type="paragraph" w:styleId="Heading2">
    <w:name w:val="heading 2"/>
    <w:basedOn w:val="Normal"/>
    <w:next w:val="Normal"/>
    <w:pPr>
      <w:keepNext w:val="1"/>
      <w:keepLines w:val="1"/>
      <w:spacing w:before="40" w:lineRule="auto"/>
      <w:ind w:firstLine="0"/>
    </w:pPr>
    <w:rPr>
      <w:b w:val="1"/>
      <w:color w:val="1f3864"/>
      <w:sz w:val="24"/>
      <w:szCs w:val="24"/>
    </w:rPr>
  </w:style>
  <w:style w:type="paragraph" w:styleId="Heading3">
    <w:name w:val="heading 3"/>
    <w:basedOn w:val="Normal"/>
    <w:next w:val="Normal"/>
    <w:pPr>
      <w:keepNext w:val="1"/>
      <w:keepLines w:val="1"/>
      <w:spacing w:before="40" w:lineRule="auto"/>
      <w:ind w:firstLine="0"/>
    </w:pPr>
    <w:rPr>
      <w:b w:val="1"/>
      <w:color w:val="323e4f"/>
    </w:rPr>
  </w:style>
  <w:style w:type="paragraph" w:styleId="Heading4">
    <w:name w:val="heading 4"/>
    <w:basedOn w:val="Normal"/>
    <w:next w:val="Normal"/>
    <w:pPr>
      <w:keepNext w:val="1"/>
      <w:keepLines w:val="1"/>
      <w:spacing w:before="40" w:lineRule="auto"/>
      <w:ind w:firstLine="0"/>
    </w:pPr>
    <w:rPr>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60A79"/>
    <w:pPr>
      <w:spacing w:after="0" w:line="276" w:lineRule="auto"/>
      <w:ind w:firstLine="720"/>
      <w:jc w:val="both"/>
    </w:pPr>
    <w:rPr>
      <w:rFonts w:ascii="Arial" w:hAnsi="Arial"/>
      <w:sz w:val="23"/>
    </w:rPr>
  </w:style>
  <w:style w:type="paragraph" w:styleId="Heading1">
    <w:name w:val="heading 1"/>
    <w:basedOn w:val="Normal"/>
    <w:next w:val="Normal"/>
    <w:link w:val="Heading1Char"/>
    <w:uiPriority w:val="9"/>
    <w:qFormat w:val="1"/>
    <w:rsid w:val="007053A1"/>
    <w:pPr>
      <w:keepNext w:val="1"/>
      <w:keepLines w:val="1"/>
      <w:spacing w:before="240"/>
      <w:ind w:firstLine="0"/>
      <w:outlineLvl w:val="0"/>
    </w:pPr>
    <w:rPr>
      <w:rFonts w:cstheme="majorBidi" w:eastAsiaTheme="majorEastAsia"/>
      <w:b w:val="1"/>
      <w:color w:val="1f4e79" w:themeColor="accent1" w:themeShade="000080"/>
      <w:sz w:val="25"/>
      <w:szCs w:val="32"/>
    </w:rPr>
  </w:style>
  <w:style w:type="paragraph" w:styleId="Heading2">
    <w:name w:val="heading 2"/>
    <w:basedOn w:val="Normal"/>
    <w:next w:val="Normal"/>
    <w:link w:val="Heading2Char"/>
    <w:uiPriority w:val="9"/>
    <w:unhideWhenUsed w:val="1"/>
    <w:qFormat w:val="1"/>
    <w:rsid w:val="007053A1"/>
    <w:pPr>
      <w:keepNext w:val="1"/>
      <w:keepLines w:val="1"/>
      <w:spacing w:before="40"/>
      <w:ind w:firstLine="0"/>
      <w:outlineLvl w:val="1"/>
    </w:pPr>
    <w:rPr>
      <w:rFonts w:cstheme="majorBidi" w:eastAsiaTheme="majorEastAsia"/>
      <w:b w:val="1"/>
      <w:color w:val="1f3864" w:themeColor="accent5" w:themeShade="000080"/>
      <w:sz w:val="24"/>
      <w:szCs w:val="26"/>
    </w:rPr>
  </w:style>
  <w:style w:type="paragraph" w:styleId="Heading3">
    <w:name w:val="heading 3"/>
    <w:basedOn w:val="Normal"/>
    <w:next w:val="Normal"/>
    <w:link w:val="Heading3Char"/>
    <w:uiPriority w:val="9"/>
    <w:unhideWhenUsed w:val="1"/>
    <w:qFormat w:val="1"/>
    <w:rsid w:val="00364C36"/>
    <w:pPr>
      <w:keepNext w:val="1"/>
      <w:keepLines w:val="1"/>
      <w:spacing w:before="40"/>
      <w:ind w:firstLine="0"/>
      <w:outlineLvl w:val="2"/>
    </w:pPr>
    <w:rPr>
      <w:rFonts w:cstheme="majorBidi" w:eastAsiaTheme="majorEastAsia"/>
      <w:b w:val="1"/>
      <w:color w:val="323e4f" w:themeColor="text2" w:themeShade="0000BF"/>
      <w:szCs w:val="24"/>
    </w:rPr>
  </w:style>
  <w:style w:type="paragraph" w:styleId="Heading4">
    <w:name w:val="heading 4"/>
    <w:basedOn w:val="Normal"/>
    <w:next w:val="Normal"/>
    <w:link w:val="Heading4Char"/>
    <w:uiPriority w:val="9"/>
    <w:unhideWhenUsed w:val="1"/>
    <w:qFormat w:val="1"/>
    <w:rsid w:val="007053A1"/>
    <w:pPr>
      <w:keepNext w:val="1"/>
      <w:keepLines w:val="1"/>
      <w:spacing w:before="40"/>
      <w:ind w:firstLine="0"/>
      <w:outlineLvl w:val="3"/>
    </w:pPr>
    <w:rPr>
      <w:rFonts w:cstheme="majorBidi" w:eastAsiaTheme="majorEastAsia"/>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053A1"/>
    <w:rPr>
      <w:rFonts w:ascii="Arial" w:hAnsi="Arial" w:cstheme="majorBidi" w:eastAsiaTheme="majorEastAsia"/>
      <w:b w:val="1"/>
      <w:color w:val="1f4e79" w:themeColor="accent1" w:themeShade="000080"/>
      <w:sz w:val="25"/>
      <w:szCs w:val="32"/>
    </w:rPr>
  </w:style>
  <w:style w:type="character" w:styleId="Heading2Char" w:customStyle="1">
    <w:name w:val="Heading 2 Char"/>
    <w:basedOn w:val="DefaultParagraphFont"/>
    <w:link w:val="Heading2"/>
    <w:uiPriority w:val="9"/>
    <w:rsid w:val="007053A1"/>
    <w:rPr>
      <w:rFonts w:ascii="Arial" w:hAnsi="Arial" w:cstheme="majorBidi" w:eastAsiaTheme="majorEastAsia"/>
      <w:b w:val="1"/>
      <w:color w:val="1f3864" w:themeColor="accent5" w:themeShade="000080"/>
      <w:sz w:val="24"/>
      <w:szCs w:val="26"/>
    </w:rPr>
  </w:style>
  <w:style w:type="paragraph" w:styleId="ListParagraph">
    <w:name w:val="List Paragraph"/>
    <w:basedOn w:val="Normal"/>
    <w:uiPriority w:val="34"/>
    <w:qFormat w:val="1"/>
    <w:rsid w:val="00755224"/>
    <w:pPr>
      <w:ind w:left="720"/>
      <w:contextualSpacing w:val="1"/>
    </w:pPr>
  </w:style>
  <w:style w:type="paragraph" w:styleId="NormalWeb">
    <w:name w:val="Normal (Web)"/>
    <w:basedOn w:val="Normal"/>
    <w:uiPriority w:val="99"/>
    <w:unhideWhenUsed w:val="1"/>
    <w:rsid w:val="00D67A57"/>
    <w:pPr>
      <w:spacing w:after="100" w:afterAutospacing="1" w:before="100" w:beforeAutospacing="1"/>
      <w:ind w:firstLine="0"/>
      <w:jc w:val="left"/>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4D3B8D"/>
    <w:rPr>
      <w:color w:val="0563c1" w:themeColor="hyperlink"/>
      <w:u w:val="single"/>
    </w:rPr>
  </w:style>
  <w:style w:type="character" w:styleId="FollowedHyperlink">
    <w:name w:val="FollowedHyperlink"/>
    <w:basedOn w:val="DefaultParagraphFont"/>
    <w:uiPriority w:val="99"/>
    <w:semiHidden w:val="1"/>
    <w:unhideWhenUsed w:val="1"/>
    <w:rsid w:val="001949A9"/>
    <w:rPr>
      <w:color w:val="954f72" w:themeColor="followedHyperlink"/>
      <w:u w:val="single"/>
    </w:rPr>
  </w:style>
  <w:style w:type="character" w:styleId="Heading3Char" w:customStyle="1">
    <w:name w:val="Heading 3 Char"/>
    <w:basedOn w:val="DefaultParagraphFont"/>
    <w:link w:val="Heading3"/>
    <w:uiPriority w:val="9"/>
    <w:rsid w:val="00364C36"/>
    <w:rPr>
      <w:rFonts w:ascii="Arial" w:hAnsi="Arial" w:cstheme="majorBidi" w:eastAsiaTheme="majorEastAsia"/>
      <w:b w:val="1"/>
      <w:color w:val="323e4f" w:themeColor="text2" w:themeShade="0000BF"/>
      <w:sz w:val="23"/>
      <w:szCs w:val="24"/>
    </w:rPr>
  </w:style>
  <w:style w:type="character" w:styleId="Emphasis">
    <w:name w:val="Emphasis"/>
    <w:basedOn w:val="DefaultParagraphFont"/>
    <w:uiPriority w:val="20"/>
    <w:qFormat w:val="1"/>
    <w:rsid w:val="0098055F"/>
    <w:rPr>
      <w:i w:val="1"/>
      <w:iCs w:val="1"/>
    </w:rPr>
  </w:style>
  <w:style w:type="paragraph" w:styleId="TOC1">
    <w:name w:val="toc 1"/>
    <w:basedOn w:val="Normal"/>
    <w:next w:val="Normal"/>
    <w:autoRedefine w:val="1"/>
    <w:uiPriority w:val="39"/>
    <w:unhideWhenUsed w:val="1"/>
    <w:rsid w:val="00C33220"/>
    <w:pPr>
      <w:spacing w:after="120" w:before="120"/>
      <w:jc w:val="left"/>
    </w:pPr>
    <w:rPr>
      <w:rFonts w:asciiTheme="minorHAnsi" w:cstheme="minorHAnsi" w:hAnsiTheme="minorHAnsi"/>
      <w:b w:val="1"/>
      <w:bCs w:val="1"/>
      <w:caps w:val="1"/>
      <w:sz w:val="20"/>
      <w:szCs w:val="20"/>
    </w:rPr>
  </w:style>
  <w:style w:type="paragraph" w:styleId="TOC2">
    <w:name w:val="toc 2"/>
    <w:basedOn w:val="Normal"/>
    <w:next w:val="Normal"/>
    <w:autoRedefine w:val="1"/>
    <w:uiPriority w:val="39"/>
    <w:unhideWhenUsed w:val="1"/>
    <w:rsid w:val="00C42334"/>
    <w:pPr>
      <w:ind w:left="230"/>
      <w:jc w:val="left"/>
    </w:pPr>
    <w:rPr>
      <w:rFonts w:asciiTheme="minorHAnsi" w:cstheme="minorHAnsi" w:hAnsiTheme="minorHAnsi"/>
      <w:smallCaps w:val="1"/>
      <w:sz w:val="20"/>
      <w:szCs w:val="20"/>
    </w:rPr>
  </w:style>
  <w:style w:type="paragraph" w:styleId="TOC3">
    <w:name w:val="toc 3"/>
    <w:basedOn w:val="Normal"/>
    <w:next w:val="Normal"/>
    <w:autoRedefine w:val="1"/>
    <w:uiPriority w:val="39"/>
    <w:unhideWhenUsed w:val="1"/>
    <w:rsid w:val="00C33220"/>
    <w:pPr>
      <w:ind w:left="460"/>
      <w:jc w:val="left"/>
    </w:pPr>
    <w:rPr>
      <w:rFonts w:asciiTheme="minorHAnsi" w:cstheme="minorHAnsi" w:hAnsiTheme="minorHAnsi"/>
      <w:i w:val="1"/>
      <w:iCs w:val="1"/>
      <w:sz w:val="20"/>
      <w:szCs w:val="20"/>
    </w:rPr>
  </w:style>
  <w:style w:type="paragraph" w:styleId="TOC4">
    <w:name w:val="toc 4"/>
    <w:basedOn w:val="Normal"/>
    <w:next w:val="Normal"/>
    <w:autoRedefine w:val="1"/>
    <w:uiPriority w:val="39"/>
    <w:unhideWhenUsed w:val="1"/>
    <w:rsid w:val="00C33220"/>
    <w:pPr>
      <w:ind w:left="690"/>
      <w:jc w:val="left"/>
    </w:pPr>
    <w:rPr>
      <w:rFonts w:asciiTheme="minorHAnsi" w:cstheme="minorHAnsi" w:hAnsiTheme="minorHAnsi"/>
      <w:sz w:val="18"/>
      <w:szCs w:val="18"/>
    </w:rPr>
  </w:style>
  <w:style w:type="paragraph" w:styleId="TOC5">
    <w:name w:val="toc 5"/>
    <w:basedOn w:val="Normal"/>
    <w:next w:val="Normal"/>
    <w:autoRedefine w:val="1"/>
    <w:uiPriority w:val="39"/>
    <w:unhideWhenUsed w:val="1"/>
    <w:rsid w:val="00C33220"/>
    <w:pPr>
      <w:ind w:left="920"/>
      <w:jc w:val="left"/>
    </w:pPr>
    <w:rPr>
      <w:rFonts w:asciiTheme="minorHAnsi" w:cstheme="minorHAnsi" w:hAnsiTheme="minorHAnsi"/>
      <w:sz w:val="18"/>
      <w:szCs w:val="18"/>
    </w:rPr>
  </w:style>
  <w:style w:type="paragraph" w:styleId="TOC6">
    <w:name w:val="toc 6"/>
    <w:basedOn w:val="Normal"/>
    <w:next w:val="Normal"/>
    <w:autoRedefine w:val="1"/>
    <w:uiPriority w:val="39"/>
    <w:unhideWhenUsed w:val="1"/>
    <w:rsid w:val="00C33220"/>
    <w:pPr>
      <w:ind w:left="1150"/>
      <w:jc w:val="left"/>
    </w:pPr>
    <w:rPr>
      <w:rFonts w:asciiTheme="minorHAnsi" w:cstheme="minorHAnsi" w:hAnsiTheme="minorHAnsi"/>
      <w:sz w:val="18"/>
      <w:szCs w:val="18"/>
    </w:rPr>
  </w:style>
  <w:style w:type="paragraph" w:styleId="TOC7">
    <w:name w:val="toc 7"/>
    <w:basedOn w:val="Normal"/>
    <w:next w:val="Normal"/>
    <w:autoRedefine w:val="1"/>
    <w:uiPriority w:val="39"/>
    <w:unhideWhenUsed w:val="1"/>
    <w:rsid w:val="00C33220"/>
    <w:pPr>
      <w:ind w:left="1380"/>
      <w:jc w:val="left"/>
    </w:pPr>
    <w:rPr>
      <w:rFonts w:asciiTheme="minorHAnsi" w:cstheme="minorHAnsi" w:hAnsiTheme="minorHAnsi"/>
      <w:sz w:val="18"/>
      <w:szCs w:val="18"/>
    </w:rPr>
  </w:style>
  <w:style w:type="paragraph" w:styleId="TOC8">
    <w:name w:val="toc 8"/>
    <w:basedOn w:val="Normal"/>
    <w:next w:val="Normal"/>
    <w:autoRedefine w:val="1"/>
    <w:uiPriority w:val="39"/>
    <w:unhideWhenUsed w:val="1"/>
    <w:rsid w:val="00C33220"/>
    <w:pPr>
      <w:ind w:left="1610"/>
      <w:jc w:val="left"/>
    </w:pPr>
    <w:rPr>
      <w:rFonts w:asciiTheme="minorHAnsi" w:cstheme="minorHAnsi" w:hAnsiTheme="minorHAnsi"/>
      <w:sz w:val="18"/>
      <w:szCs w:val="18"/>
    </w:rPr>
  </w:style>
  <w:style w:type="paragraph" w:styleId="TOC9">
    <w:name w:val="toc 9"/>
    <w:basedOn w:val="Normal"/>
    <w:next w:val="Normal"/>
    <w:autoRedefine w:val="1"/>
    <w:uiPriority w:val="39"/>
    <w:unhideWhenUsed w:val="1"/>
    <w:rsid w:val="00C33220"/>
    <w:pPr>
      <w:ind w:left="1840"/>
      <w:jc w:val="left"/>
    </w:pPr>
    <w:rPr>
      <w:rFonts w:asciiTheme="minorHAnsi" w:cstheme="minorHAnsi" w:hAnsiTheme="minorHAnsi"/>
      <w:sz w:val="18"/>
      <w:szCs w:val="18"/>
    </w:rPr>
  </w:style>
  <w:style w:type="paragraph" w:styleId="Caption">
    <w:name w:val="caption"/>
    <w:basedOn w:val="Normal"/>
    <w:next w:val="Normal"/>
    <w:uiPriority w:val="35"/>
    <w:unhideWhenUsed w:val="1"/>
    <w:qFormat w:val="1"/>
    <w:rsid w:val="00751F97"/>
    <w:pPr>
      <w:spacing w:after="120" w:line="240" w:lineRule="auto"/>
      <w:ind w:firstLine="0"/>
    </w:pPr>
    <w:rPr>
      <w:b w:val="1"/>
      <w:iCs w:val="1"/>
      <w:sz w:val="22"/>
      <w:szCs w:val="18"/>
    </w:rPr>
  </w:style>
  <w:style w:type="table" w:styleId="TableGrid">
    <w:name w:val="Table Grid"/>
    <w:basedOn w:val="TableNormal"/>
    <w:uiPriority w:val="59"/>
    <w:rsid w:val="00170F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170F7E"/>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170F7E"/>
    <w:rPr>
      <w:rFonts w:ascii="Arial" w:hAnsi="Arial"/>
      <w:sz w:val="20"/>
      <w:szCs w:val="20"/>
    </w:rPr>
  </w:style>
  <w:style w:type="character" w:styleId="FootnoteReference">
    <w:name w:val="footnote reference"/>
    <w:basedOn w:val="DefaultParagraphFont"/>
    <w:uiPriority w:val="99"/>
    <w:semiHidden w:val="1"/>
    <w:unhideWhenUsed w:val="1"/>
    <w:rsid w:val="00170F7E"/>
    <w:rPr>
      <w:vertAlign w:val="superscript"/>
    </w:rPr>
  </w:style>
  <w:style w:type="paragraph" w:styleId="NoSpacing">
    <w:name w:val="No Spacing"/>
    <w:uiPriority w:val="1"/>
    <w:qFormat w:val="1"/>
    <w:rsid w:val="00AD1EE4"/>
    <w:pPr>
      <w:spacing w:after="0" w:line="240" w:lineRule="auto"/>
    </w:pPr>
    <w:rPr>
      <w:rFonts w:ascii="Arial" w:hAnsi="Arial"/>
      <w:sz w:val="21"/>
    </w:rPr>
  </w:style>
  <w:style w:type="paragraph" w:styleId="BalloonText">
    <w:name w:val="Balloon Text"/>
    <w:basedOn w:val="Normal"/>
    <w:link w:val="BalloonTextChar"/>
    <w:uiPriority w:val="99"/>
    <w:semiHidden w:val="1"/>
    <w:unhideWhenUsed w:val="1"/>
    <w:rsid w:val="007E36FF"/>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E36FF"/>
    <w:rPr>
      <w:rFonts w:ascii="Segoe UI" w:cs="Segoe UI" w:hAnsi="Segoe UI"/>
      <w:sz w:val="18"/>
      <w:szCs w:val="18"/>
    </w:rPr>
  </w:style>
  <w:style w:type="character" w:styleId="Strong">
    <w:name w:val="Strong"/>
    <w:basedOn w:val="DefaultParagraphFont"/>
    <w:uiPriority w:val="22"/>
    <w:qFormat w:val="1"/>
    <w:rsid w:val="002E237C"/>
    <w:rPr>
      <w:b w:val="1"/>
      <w:bCs w:val="1"/>
    </w:rPr>
  </w:style>
  <w:style w:type="character" w:styleId="table-label" w:customStyle="1">
    <w:name w:val="table-label"/>
    <w:basedOn w:val="DefaultParagraphFont"/>
    <w:rsid w:val="002165DB"/>
  </w:style>
  <w:style w:type="character" w:styleId="table-title" w:customStyle="1">
    <w:name w:val="table-title"/>
    <w:basedOn w:val="DefaultParagraphFont"/>
    <w:rsid w:val="002165DB"/>
  </w:style>
  <w:style w:type="table" w:styleId="ListTable3-Accent1">
    <w:name w:val="List Table 3 Accent 1"/>
    <w:basedOn w:val="TableNormal"/>
    <w:uiPriority w:val="48"/>
    <w:rsid w:val="00FF1BBA"/>
    <w:pPr>
      <w:spacing w:after="0" w:line="240" w:lineRule="auto"/>
    </w:pPr>
    <w:tblPr>
      <w:tblStyleRowBandSize w:val="1"/>
      <w:tblStyleColBandSize w:val="1"/>
      <w:tblBorders>
        <w:top w:color="5b9bd5" w:space="0" w:sz="4" w:themeColor="accent1" w:val="single"/>
        <w:left w:color="5b9bd5" w:space="0" w:sz="4" w:themeColor="accent1" w:val="single"/>
        <w:bottom w:color="5b9bd5" w:space="0" w:sz="4" w:themeColor="accent1" w:val="single"/>
        <w:right w:color="5b9bd5" w:space="0" w:sz="4" w:themeColor="accent1" w:val="single"/>
      </w:tblBorders>
    </w:tblPr>
    <w:tblStylePr w:type="firstRow">
      <w:rPr>
        <w:b w:val="1"/>
        <w:bCs w:val="1"/>
        <w:color w:val="ffffff" w:themeColor="background1"/>
      </w:rPr>
      <w:tblPr/>
      <w:tcPr>
        <w:shd w:color="auto" w:fill="5b9bd5" w:themeFill="accent1" w:val="clear"/>
      </w:tcPr>
    </w:tblStylePr>
    <w:tblStylePr w:type="lastRow">
      <w:rPr>
        <w:b w:val="1"/>
        <w:bCs w:val="1"/>
      </w:rPr>
      <w:tblPr/>
      <w:tcPr>
        <w:tcBorders>
          <w:top w:color="5b9bd5"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b9bd5" w:space="0" w:sz="4" w:themeColor="accent1" w:val="single"/>
          <w:right w:color="5b9bd5" w:space="0" w:sz="4" w:themeColor="accent1" w:val="single"/>
        </w:tcBorders>
      </w:tcPr>
    </w:tblStylePr>
    <w:tblStylePr w:type="band1Horz">
      <w:tblPr/>
      <w:tcPr>
        <w:tcBorders>
          <w:top w:color="5b9bd5" w:space="0" w:sz="4" w:themeColor="accent1" w:val="single"/>
          <w:bottom w:color="5b9bd5"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b9bd5" w:space="0" w:sz="4" w:themeColor="accent1" w:val="double"/>
          <w:left w:space="0" w:sz="0" w:val="nil"/>
        </w:tcBorders>
      </w:tcPr>
    </w:tblStylePr>
    <w:tblStylePr w:type="swCell">
      <w:tblPr/>
      <w:tcPr>
        <w:tcBorders>
          <w:top w:color="5b9bd5" w:space="0" w:sz="4" w:themeColor="accent1" w:val="double"/>
          <w:right w:space="0" w:sz="0" w:val="nil"/>
        </w:tcBorders>
      </w:tcPr>
    </w:tblStylePr>
  </w:style>
  <w:style w:type="character" w:styleId="Heading4Char" w:customStyle="1">
    <w:name w:val="Heading 4 Char"/>
    <w:basedOn w:val="DefaultParagraphFont"/>
    <w:link w:val="Heading4"/>
    <w:uiPriority w:val="9"/>
    <w:rsid w:val="007053A1"/>
    <w:rPr>
      <w:rFonts w:ascii="Arial" w:hAnsi="Arial" w:cstheme="majorBidi" w:eastAsiaTheme="majorEastAsia"/>
      <w:i w:val="1"/>
      <w:iCs w:val="1"/>
      <w:sz w:val="23"/>
    </w:rPr>
  </w:style>
  <w:style w:type="table" w:styleId="TableGridLight">
    <w:name w:val="Grid Table Light"/>
    <w:basedOn w:val="TableNormal"/>
    <w:uiPriority w:val="40"/>
    <w:rsid w:val="00122AB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PlainTable2">
    <w:name w:val="Plain Table 2"/>
    <w:basedOn w:val="TableNormal"/>
    <w:uiPriority w:val="42"/>
    <w:rsid w:val="000436B3"/>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TOCHeading">
    <w:name w:val="TOC Heading"/>
    <w:basedOn w:val="Heading1"/>
    <w:next w:val="Normal"/>
    <w:uiPriority w:val="39"/>
    <w:unhideWhenUsed w:val="1"/>
    <w:qFormat w:val="1"/>
    <w:rsid w:val="00C42334"/>
    <w:pPr>
      <w:spacing w:line="259" w:lineRule="auto"/>
      <w:jc w:val="left"/>
      <w:outlineLvl w:val="9"/>
    </w:pPr>
    <w:rPr>
      <w:rFonts w:asciiTheme="majorHAnsi" w:hAnsiTheme="majorHAnsi"/>
      <w:b w:val="0"/>
      <w:color w:val="2e74b5" w:themeColor="accent1" w:themeShade="0000BF"/>
      <w:sz w:val="32"/>
      <w:lang w:val="en-US"/>
    </w:rPr>
  </w:style>
  <w:style w:type="table" w:styleId="GridTable1Light">
    <w:name w:val="Grid Table 1 Light"/>
    <w:basedOn w:val="TableNormal"/>
    <w:uiPriority w:val="46"/>
    <w:rsid w:val="00013E31"/>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character" w:styleId="CommentReference">
    <w:name w:val="annotation reference"/>
    <w:basedOn w:val="DefaultParagraphFont"/>
    <w:uiPriority w:val="99"/>
    <w:semiHidden w:val="1"/>
    <w:unhideWhenUsed w:val="1"/>
    <w:rsid w:val="003229FE"/>
    <w:rPr>
      <w:sz w:val="16"/>
      <w:szCs w:val="16"/>
    </w:rPr>
  </w:style>
  <w:style w:type="paragraph" w:styleId="CommentText">
    <w:name w:val="annotation text"/>
    <w:basedOn w:val="Normal"/>
    <w:link w:val="CommentTextChar"/>
    <w:uiPriority w:val="99"/>
    <w:semiHidden w:val="1"/>
    <w:unhideWhenUsed w:val="1"/>
    <w:rsid w:val="003229FE"/>
    <w:pPr>
      <w:spacing w:line="240" w:lineRule="auto"/>
    </w:pPr>
    <w:rPr>
      <w:sz w:val="20"/>
      <w:szCs w:val="20"/>
    </w:rPr>
  </w:style>
  <w:style w:type="character" w:styleId="CommentTextChar" w:customStyle="1">
    <w:name w:val="Comment Text Char"/>
    <w:basedOn w:val="DefaultParagraphFont"/>
    <w:link w:val="CommentText"/>
    <w:uiPriority w:val="99"/>
    <w:semiHidden w:val="1"/>
    <w:rsid w:val="003229FE"/>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3229FE"/>
    <w:rPr>
      <w:b w:val="1"/>
      <w:bCs w:val="1"/>
    </w:rPr>
  </w:style>
  <w:style w:type="character" w:styleId="CommentSubjectChar" w:customStyle="1">
    <w:name w:val="Comment Subject Char"/>
    <w:basedOn w:val="CommentTextChar"/>
    <w:link w:val="CommentSubject"/>
    <w:uiPriority w:val="99"/>
    <w:semiHidden w:val="1"/>
    <w:rsid w:val="003229FE"/>
    <w:rPr>
      <w:rFonts w:ascii="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A4JFpeXU70AFMtlXVusmCN/m/g==">CgMxLjAaHQoBMBIYChYIB0ISEhBBcmlhbCBVbmljb2RlIE1TGh0KATESGAoWCAdCEhIQQXJpYWwgVW5pY29kZSBNUxodCgEyEhgKFggHQhISEEFyaWFsIFVuaWNvZGUgTVMyCGguZ2pkZ3hzMghoLnR5amN3dDIJaC4zZHk2dmttMgloLjFrc3Y0dXYyCWguNDRzaW5pbzIJaC4yanhzeHFoMghoLnozMzd5YTIJaC4zajJxcW0zMgloLjF5ODEwdHcyCWguNGk3b2pocDIJaC4yeGN5dHBpOABqKAoUc3VnZ2VzdC40Ym9yMjJrOGJhZnoSEEV2YSBKYW5vdcWha292w6FqKAoUc3VnZ2VzdC5hZmJmaHh2cjhoMWwSEEV2YSBKYW5vdcWha292w6FqKAoUc3VnZ2VzdC4zbTFzZjExaDN1aDQSEEV2YSBKYW5vdcWha292w6FqKAoUc3VnZ2VzdC55empjZGZ4YWIxZDASEEV2YSBKYW5vdcWha292w6FqKAoUc3VnZ2VzdC5rdWptM3FkN2x1NXISEEV2YSBKYW5vdcWha292w6FyITFjU2trYnBCQi10aXlVSC1OYk83ajVaejV6TEh5bDlI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2021-06-04T14:31:00Z</dcterms:created>
  <dc:creator>Ines Li Lin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7bc5a560-3e19-3b27-a45e-281d5139a350</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