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0C03D" w14:textId="0A3272AD" w:rsidR="00931C6E" w:rsidRDefault="000A203E">
      <w:pPr>
        <w:pStyle w:val="TOC1"/>
        <w:tabs>
          <w:tab w:val="right" w:pos="10456"/>
        </w:tabs>
        <w:rPr>
          <w:rFonts w:eastAsiaTheme="minorEastAsia" w:cstheme="minorBidi"/>
          <w:b w:val="0"/>
          <w:bCs w:val="0"/>
          <w:caps w:val="0"/>
          <w:noProof/>
          <w:u w:val="none"/>
          <w:lang w:eastAsia="en-GB"/>
        </w:rPr>
      </w:pPr>
      <w:r>
        <w:rPr>
          <w:i/>
          <w:iCs/>
          <w:caps w:val="0"/>
          <w:sz w:val="24"/>
          <w:szCs w:val="24"/>
        </w:rPr>
        <w:fldChar w:fldCharType="begin"/>
      </w:r>
      <w:r>
        <w:rPr>
          <w:i/>
          <w:iCs/>
          <w:caps w:val="0"/>
          <w:sz w:val="24"/>
          <w:szCs w:val="24"/>
        </w:rPr>
        <w:instrText xml:space="preserve"> TOC \o "1-3" \h \z \u </w:instrText>
      </w:r>
      <w:r>
        <w:rPr>
          <w:i/>
          <w:iCs/>
          <w:caps w:val="0"/>
          <w:sz w:val="24"/>
          <w:szCs w:val="24"/>
        </w:rPr>
        <w:fldChar w:fldCharType="separate"/>
      </w:r>
      <w:hyperlink w:anchor="_Toc64288799" w:history="1">
        <w:r w:rsidR="00931C6E" w:rsidRPr="009B7D83">
          <w:rPr>
            <w:rStyle w:val="Hyperlink"/>
            <w:noProof/>
          </w:rPr>
          <w:t>Acute Lower Respi</w:t>
        </w:r>
        <w:r w:rsidR="00931C6E" w:rsidRPr="009B7D83">
          <w:rPr>
            <w:rStyle w:val="Hyperlink"/>
            <w:noProof/>
          </w:rPr>
          <w:t>r</w:t>
        </w:r>
        <w:r w:rsidR="00931C6E" w:rsidRPr="009B7D83">
          <w:rPr>
            <w:rStyle w:val="Hyperlink"/>
            <w:noProof/>
          </w:rPr>
          <w:t>atory Infection (ALRI) Module</w:t>
        </w:r>
        <w:r w:rsidR="00931C6E">
          <w:rPr>
            <w:noProof/>
            <w:webHidden/>
          </w:rPr>
          <w:tab/>
        </w:r>
        <w:r w:rsidR="00931C6E">
          <w:rPr>
            <w:noProof/>
            <w:webHidden/>
          </w:rPr>
          <w:fldChar w:fldCharType="begin"/>
        </w:r>
        <w:r w:rsidR="00931C6E">
          <w:rPr>
            <w:noProof/>
            <w:webHidden/>
          </w:rPr>
          <w:instrText xml:space="preserve"> PAGEREF _Toc64288799 \h </w:instrText>
        </w:r>
        <w:r w:rsidR="00931C6E">
          <w:rPr>
            <w:noProof/>
            <w:webHidden/>
          </w:rPr>
        </w:r>
        <w:r w:rsidR="00931C6E">
          <w:rPr>
            <w:noProof/>
            <w:webHidden/>
          </w:rPr>
          <w:fldChar w:fldCharType="separate"/>
        </w:r>
        <w:r w:rsidR="00931C6E">
          <w:rPr>
            <w:noProof/>
            <w:webHidden/>
          </w:rPr>
          <w:t>2</w:t>
        </w:r>
        <w:r w:rsidR="00931C6E">
          <w:rPr>
            <w:noProof/>
            <w:webHidden/>
          </w:rPr>
          <w:fldChar w:fldCharType="end"/>
        </w:r>
      </w:hyperlink>
    </w:p>
    <w:p w14:paraId="3EEB9CBB" w14:textId="671F30BB" w:rsidR="00931C6E" w:rsidRDefault="00E018E1">
      <w:pPr>
        <w:pStyle w:val="TOC2"/>
        <w:tabs>
          <w:tab w:val="right" w:pos="10456"/>
        </w:tabs>
        <w:rPr>
          <w:rFonts w:eastAsiaTheme="minorEastAsia" w:cstheme="minorBidi"/>
          <w:b w:val="0"/>
          <w:bCs w:val="0"/>
          <w:smallCaps w:val="0"/>
          <w:noProof/>
          <w:lang w:eastAsia="en-GB"/>
        </w:rPr>
      </w:pPr>
      <w:hyperlink w:anchor="_Toc64288800" w:history="1">
        <w:r w:rsidR="00931C6E" w:rsidRPr="009B7D83">
          <w:rPr>
            <w:rStyle w:val="Hyperlink"/>
            <w:noProof/>
          </w:rPr>
          <w:t>Background</w:t>
        </w:r>
        <w:r w:rsidR="00931C6E">
          <w:rPr>
            <w:noProof/>
            <w:webHidden/>
          </w:rPr>
          <w:tab/>
        </w:r>
        <w:r w:rsidR="00931C6E">
          <w:rPr>
            <w:noProof/>
            <w:webHidden/>
          </w:rPr>
          <w:fldChar w:fldCharType="begin"/>
        </w:r>
        <w:r w:rsidR="00931C6E">
          <w:rPr>
            <w:noProof/>
            <w:webHidden/>
          </w:rPr>
          <w:instrText xml:space="preserve"> PAGEREF _Toc64288800 \h </w:instrText>
        </w:r>
        <w:r w:rsidR="00931C6E">
          <w:rPr>
            <w:noProof/>
            <w:webHidden/>
          </w:rPr>
        </w:r>
        <w:r w:rsidR="00931C6E">
          <w:rPr>
            <w:noProof/>
            <w:webHidden/>
          </w:rPr>
          <w:fldChar w:fldCharType="separate"/>
        </w:r>
        <w:r w:rsidR="00931C6E">
          <w:rPr>
            <w:noProof/>
            <w:webHidden/>
          </w:rPr>
          <w:t>2</w:t>
        </w:r>
        <w:r w:rsidR="00931C6E">
          <w:rPr>
            <w:noProof/>
            <w:webHidden/>
          </w:rPr>
          <w:fldChar w:fldCharType="end"/>
        </w:r>
      </w:hyperlink>
    </w:p>
    <w:p w14:paraId="6FE89117" w14:textId="353D8F7F" w:rsidR="00931C6E" w:rsidRDefault="00E018E1">
      <w:pPr>
        <w:pStyle w:val="TOC3"/>
        <w:tabs>
          <w:tab w:val="right" w:pos="10456"/>
        </w:tabs>
        <w:rPr>
          <w:rFonts w:eastAsiaTheme="minorEastAsia" w:cstheme="minorBidi"/>
          <w:smallCaps w:val="0"/>
          <w:noProof/>
          <w:lang w:eastAsia="en-GB"/>
        </w:rPr>
      </w:pPr>
      <w:hyperlink w:anchor="_Toc64288801" w:history="1">
        <w:r w:rsidR="00931C6E" w:rsidRPr="009B7D83">
          <w:rPr>
            <w:rStyle w:val="Hyperlink"/>
            <w:noProof/>
          </w:rPr>
          <w:t>The Thanzi La Onse Model</w:t>
        </w:r>
        <w:r w:rsidR="00931C6E">
          <w:rPr>
            <w:noProof/>
            <w:webHidden/>
          </w:rPr>
          <w:tab/>
        </w:r>
        <w:r w:rsidR="00931C6E">
          <w:rPr>
            <w:noProof/>
            <w:webHidden/>
          </w:rPr>
          <w:fldChar w:fldCharType="begin"/>
        </w:r>
        <w:r w:rsidR="00931C6E">
          <w:rPr>
            <w:noProof/>
            <w:webHidden/>
          </w:rPr>
          <w:instrText xml:space="preserve"> PAGEREF _Toc64288801 \h </w:instrText>
        </w:r>
        <w:r w:rsidR="00931C6E">
          <w:rPr>
            <w:noProof/>
            <w:webHidden/>
          </w:rPr>
        </w:r>
        <w:r w:rsidR="00931C6E">
          <w:rPr>
            <w:noProof/>
            <w:webHidden/>
          </w:rPr>
          <w:fldChar w:fldCharType="separate"/>
        </w:r>
        <w:r w:rsidR="00931C6E">
          <w:rPr>
            <w:noProof/>
            <w:webHidden/>
          </w:rPr>
          <w:t>2</w:t>
        </w:r>
        <w:r w:rsidR="00931C6E">
          <w:rPr>
            <w:noProof/>
            <w:webHidden/>
          </w:rPr>
          <w:fldChar w:fldCharType="end"/>
        </w:r>
      </w:hyperlink>
    </w:p>
    <w:p w14:paraId="4813136B" w14:textId="3521F1EA" w:rsidR="00931C6E" w:rsidRDefault="00E018E1">
      <w:pPr>
        <w:pStyle w:val="TOC3"/>
        <w:tabs>
          <w:tab w:val="right" w:pos="10456"/>
        </w:tabs>
        <w:rPr>
          <w:rFonts w:eastAsiaTheme="minorEastAsia" w:cstheme="minorBidi"/>
          <w:smallCaps w:val="0"/>
          <w:noProof/>
          <w:lang w:eastAsia="en-GB"/>
        </w:rPr>
      </w:pPr>
      <w:hyperlink w:anchor="_Toc64288802" w:history="1">
        <w:r w:rsidR="00931C6E" w:rsidRPr="009B7D83">
          <w:rPr>
            <w:rStyle w:val="Hyperlink"/>
            <w:noProof/>
          </w:rPr>
          <w:t>General approach to decisions on modelling causal influences and effects of interventions</w:t>
        </w:r>
        <w:r w:rsidR="00931C6E">
          <w:rPr>
            <w:noProof/>
            <w:webHidden/>
          </w:rPr>
          <w:tab/>
        </w:r>
        <w:r w:rsidR="00931C6E">
          <w:rPr>
            <w:noProof/>
            <w:webHidden/>
          </w:rPr>
          <w:fldChar w:fldCharType="begin"/>
        </w:r>
        <w:r w:rsidR="00931C6E">
          <w:rPr>
            <w:noProof/>
            <w:webHidden/>
          </w:rPr>
          <w:instrText xml:space="preserve"> PAGEREF _Toc64288802 \h </w:instrText>
        </w:r>
        <w:r w:rsidR="00931C6E">
          <w:rPr>
            <w:noProof/>
            <w:webHidden/>
          </w:rPr>
        </w:r>
        <w:r w:rsidR="00931C6E">
          <w:rPr>
            <w:noProof/>
            <w:webHidden/>
          </w:rPr>
          <w:fldChar w:fldCharType="separate"/>
        </w:r>
        <w:r w:rsidR="00931C6E">
          <w:rPr>
            <w:noProof/>
            <w:webHidden/>
          </w:rPr>
          <w:t>2</w:t>
        </w:r>
        <w:r w:rsidR="00931C6E">
          <w:rPr>
            <w:noProof/>
            <w:webHidden/>
          </w:rPr>
          <w:fldChar w:fldCharType="end"/>
        </w:r>
      </w:hyperlink>
    </w:p>
    <w:p w14:paraId="1EDCD7A6" w14:textId="2A5FD708" w:rsidR="00931C6E" w:rsidRDefault="00E018E1">
      <w:pPr>
        <w:pStyle w:val="TOC3"/>
        <w:tabs>
          <w:tab w:val="right" w:pos="10456"/>
        </w:tabs>
        <w:rPr>
          <w:rFonts w:eastAsiaTheme="minorEastAsia" w:cstheme="minorBidi"/>
          <w:smallCaps w:val="0"/>
          <w:noProof/>
          <w:lang w:eastAsia="en-GB"/>
        </w:rPr>
      </w:pPr>
      <w:hyperlink w:anchor="_Toc64288803" w:history="1">
        <w:r w:rsidR="00931C6E" w:rsidRPr="009B7D83">
          <w:rPr>
            <w:rStyle w:val="Hyperlink"/>
            <w:noProof/>
          </w:rPr>
          <w:t>Demographic and social characteristics modelled</w:t>
        </w:r>
        <w:r w:rsidR="00931C6E">
          <w:rPr>
            <w:noProof/>
            <w:webHidden/>
          </w:rPr>
          <w:tab/>
        </w:r>
        <w:r w:rsidR="00931C6E">
          <w:rPr>
            <w:noProof/>
            <w:webHidden/>
          </w:rPr>
          <w:fldChar w:fldCharType="begin"/>
        </w:r>
        <w:r w:rsidR="00931C6E">
          <w:rPr>
            <w:noProof/>
            <w:webHidden/>
          </w:rPr>
          <w:instrText xml:space="preserve"> PAGEREF _Toc64288803 \h </w:instrText>
        </w:r>
        <w:r w:rsidR="00931C6E">
          <w:rPr>
            <w:noProof/>
            <w:webHidden/>
          </w:rPr>
        </w:r>
        <w:r w:rsidR="00931C6E">
          <w:rPr>
            <w:noProof/>
            <w:webHidden/>
          </w:rPr>
          <w:fldChar w:fldCharType="separate"/>
        </w:r>
        <w:r w:rsidR="00931C6E">
          <w:rPr>
            <w:noProof/>
            <w:webHidden/>
          </w:rPr>
          <w:t>2</w:t>
        </w:r>
        <w:r w:rsidR="00931C6E">
          <w:rPr>
            <w:noProof/>
            <w:webHidden/>
          </w:rPr>
          <w:fldChar w:fldCharType="end"/>
        </w:r>
      </w:hyperlink>
    </w:p>
    <w:p w14:paraId="1949C4BD" w14:textId="32268283" w:rsidR="00931C6E" w:rsidRDefault="00E018E1">
      <w:pPr>
        <w:pStyle w:val="TOC2"/>
        <w:tabs>
          <w:tab w:val="right" w:pos="10456"/>
        </w:tabs>
        <w:rPr>
          <w:rFonts w:eastAsiaTheme="minorEastAsia" w:cstheme="minorBidi"/>
          <w:b w:val="0"/>
          <w:bCs w:val="0"/>
          <w:smallCaps w:val="0"/>
          <w:noProof/>
          <w:lang w:eastAsia="en-GB"/>
        </w:rPr>
      </w:pPr>
      <w:hyperlink w:anchor="_Toc64288804" w:history="1">
        <w:r w:rsidR="00931C6E" w:rsidRPr="009B7D83">
          <w:rPr>
            <w:rStyle w:val="Hyperlink"/>
            <w:noProof/>
          </w:rPr>
          <w:t>Approach to modelling ALRI: rationale for model structure &amp; choice of parameter values</w:t>
        </w:r>
        <w:r w:rsidR="00931C6E">
          <w:rPr>
            <w:noProof/>
            <w:webHidden/>
          </w:rPr>
          <w:tab/>
        </w:r>
        <w:r w:rsidR="00931C6E">
          <w:rPr>
            <w:noProof/>
            <w:webHidden/>
          </w:rPr>
          <w:fldChar w:fldCharType="begin"/>
        </w:r>
        <w:r w:rsidR="00931C6E">
          <w:rPr>
            <w:noProof/>
            <w:webHidden/>
          </w:rPr>
          <w:instrText xml:space="preserve"> PAGEREF _Toc64288804 \h </w:instrText>
        </w:r>
        <w:r w:rsidR="00931C6E">
          <w:rPr>
            <w:noProof/>
            <w:webHidden/>
          </w:rPr>
        </w:r>
        <w:r w:rsidR="00931C6E">
          <w:rPr>
            <w:noProof/>
            <w:webHidden/>
          </w:rPr>
          <w:fldChar w:fldCharType="separate"/>
        </w:r>
        <w:r w:rsidR="00931C6E">
          <w:rPr>
            <w:noProof/>
            <w:webHidden/>
          </w:rPr>
          <w:t>3</w:t>
        </w:r>
        <w:r w:rsidR="00931C6E">
          <w:rPr>
            <w:noProof/>
            <w:webHidden/>
          </w:rPr>
          <w:fldChar w:fldCharType="end"/>
        </w:r>
      </w:hyperlink>
    </w:p>
    <w:p w14:paraId="3E0D3A70" w14:textId="0C843506" w:rsidR="00931C6E" w:rsidRDefault="00E018E1">
      <w:pPr>
        <w:pStyle w:val="TOC3"/>
        <w:tabs>
          <w:tab w:val="right" w:pos="10456"/>
        </w:tabs>
        <w:rPr>
          <w:rFonts w:eastAsiaTheme="minorEastAsia" w:cstheme="minorBidi"/>
          <w:smallCaps w:val="0"/>
          <w:noProof/>
          <w:lang w:eastAsia="en-GB"/>
        </w:rPr>
      </w:pPr>
      <w:hyperlink w:anchor="_Toc64288805" w:history="1">
        <w:r w:rsidR="00931C6E" w:rsidRPr="009B7D83">
          <w:rPr>
            <w:rStyle w:val="Hyperlink"/>
            <w:noProof/>
          </w:rPr>
          <w:t>Summary</w:t>
        </w:r>
        <w:r w:rsidR="00931C6E">
          <w:rPr>
            <w:noProof/>
            <w:webHidden/>
          </w:rPr>
          <w:tab/>
        </w:r>
        <w:r w:rsidR="00931C6E">
          <w:rPr>
            <w:noProof/>
            <w:webHidden/>
          </w:rPr>
          <w:fldChar w:fldCharType="begin"/>
        </w:r>
        <w:r w:rsidR="00931C6E">
          <w:rPr>
            <w:noProof/>
            <w:webHidden/>
          </w:rPr>
          <w:instrText xml:space="preserve"> PAGEREF _Toc64288805 \h </w:instrText>
        </w:r>
        <w:r w:rsidR="00931C6E">
          <w:rPr>
            <w:noProof/>
            <w:webHidden/>
          </w:rPr>
        </w:r>
        <w:r w:rsidR="00931C6E">
          <w:rPr>
            <w:noProof/>
            <w:webHidden/>
          </w:rPr>
          <w:fldChar w:fldCharType="separate"/>
        </w:r>
        <w:r w:rsidR="00931C6E">
          <w:rPr>
            <w:noProof/>
            <w:webHidden/>
          </w:rPr>
          <w:t>3</w:t>
        </w:r>
        <w:r w:rsidR="00931C6E">
          <w:rPr>
            <w:noProof/>
            <w:webHidden/>
          </w:rPr>
          <w:fldChar w:fldCharType="end"/>
        </w:r>
      </w:hyperlink>
    </w:p>
    <w:p w14:paraId="1C87A1DF" w14:textId="6D6CE803" w:rsidR="00931C6E" w:rsidRDefault="00E018E1">
      <w:pPr>
        <w:pStyle w:val="TOC3"/>
        <w:tabs>
          <w:tab w:val="right" w:pos="10456"/>
        </w:tabs>
        <w:rPr>
          <w:rFonts w:eastAsiaTheme="minorEastAsia" w:cstheme="minorBidi"/>
          <w:smallCaps w:val="0"/>
          <w:noProof/>
          <w:lang w:eastAsia="en-GB"/>
        </w:rPr>
      </w:pPr>
      <w:hyperlink w:anchor="_Toc64288806" w:history="1">
        <w:r w:rsidR="00931C6E" w:rsidRPr="009B7D83">
          <w:rPr>
            <w:rStyle w:val="Hyperlink"/>
            <w:noProof/>
          </w:rPr>
          <w:t>Case definitions and clinical classification</w:t>
        </w:r>
        <w:r w:rsidR="00931C6E">
          <w:rPr>
            <w:noProof/>
            <w:webHidden/>
          </w:rPr>
          <w:tab/>
        </w:r>
        <w:r w:rsidR="00931C6E">
          <w:rPr>
            <w:noProof/>
            <w:webHidden/>
          </w:rPr>
          <w:fldChar w:fldCharType="begin"/>
        </w:r>
        <w:r w:rsidR="00931C6E">
          <w:rPr>
            <w:noProof/>
            <w:webHidden/>
          </w:rPr>
          <w:instrText xml:space="preserve"> PAGEREF _Toc64288806 \h </w:instrText>
        </w:r>
        <w:r w:rsidR="00931C6E">
          <w:rPr>
            <w:noProof/>
            <w:webHidden/>
          </w:rPr>
        </w:r>
        <w:r w:rsidR="00931C6E">
          <w:rPr>
            <w:noProof/>
            <w:webHidden/>
          </w:rPr>
          <w:fldChar w:fldCharType="separate"/>
        </w:r>
        <w:r w:rsidR="00931C6E">
          <w:rPr>
            <w:noProof/>
            <w:webHidden/>
          </w:rPr>
          <w:t>3</w:t>
        </w:r>
        <w:r w:rsidR="00931C6E">
          <w:rPr>
            <w:noProof/>
            <w:webHidden/>
          </w:rPr>
          <w:fldChar w:fldCharType="end"/>
        </w:r>
      </w:hyperlink>
    </w:p>
    <w:p w14:paraId="1A59B0EB" w14:textId="14E9923F" w:rsidR="00931C6E" w:rsidRDefault="00E018E1">
      <w:pPr>
        <w:pStyle w:val="TOC3"/>
        <w:tabs>
          <w:tab w:val="right" w:pos="10456"/>
        </w:tabs>
        <w:rPr>
          <w:rFonts w:eastAsiaTheme="minorEastAsia" w:cstheme="minorBidi"/>
          <w:smallCaps w:val="0"/>
          <w:noProof/>
          <w:lang w:eastAsia="en-GB"/>
        </w:rPr>
      </w:pPr>
      <w:hyperlink w:anchor="_Toc64288807" w:history="1">
        <w:r w:rsidR="00931C6E" w:rsidRPr="009B7D83">
          <w:rPr>
            <w:rStyle w:val="Hyperlink"/>
            <w:noProof/>
          </w:rPr>
          <w:t>Conceptualisation of ALRI model structure</w:t>
        </w:r>
        <w:r w:rsidR="00931C6E">
          <w:rPr>
            <w:noProof/>
            <w:webHidden/>
          </w:rPr>
          <w:tab/>
        </w:r>
        <w:r w:rsidR="00931C6E">
          <w:rPr>
            <w:noProof/>
            <w:webHidden/>
          </w:rPr>
          <w:fldChar w:fldCharType="begin"/>
        </w:r>
        <w:r w:rsidR="00931C6E">
          <w:rPr>
            <w:noProof/>
            <w:webHidden/>
          </w:rPr>
          <w:instrText xml:space="preserve"> PAGEREF _Toc64288807 \h </w:instrText>
        </w:r>
        <w:r w:rsidR="00931C6E">
          <w:rPr>
            <w:noProof/>
            <w:webHidden/>
          </w:rPr>
        </w:r>
        <w:r w:rsidR="00931C6E">
          <w:rPr>
            <w:noProof/>
            <w:webHidden/>
          </w:rPr>
          <w:fldChar w:fldCharType="separate"/>
        </w:r>
        <w:r w:rsidR="00931C6E">
          <w:rPr>
            <w:noProof/>
            <w:webHidden/>
          </w:rPr>
          <w:t>4</w:t>
        </w:r>
        <w:r w:rsidR="00931C6E">
          <w:rPr>
            <w:noProof/>
            <w:webHidden/>
          </w:rPr>
          <w:fldChar w:fldCharType="end"/>
        </w:r>
      </w:hyperlink>
    </w:p>
    <w:p w14:paraId="7DE4F717" w14:textId="4BA40EC0" w:rsidR="00931C6E" w:rsidRDefault="00E018E1">
      <w:pPr>
        <w:pStyle w:val="TOC3"/>
        <w:tabs>
          <w:tab w:val="right" w:pos="10456"/>
        </w:tabs>
        <w:rPr>
          <w:rFonts w:eastAsiaTheme="minorEastAsia" w:cstheme="minorBidi"/>
          <w:smallCaps w:val="0"/>
          <w:noProof/>
          <w:lang w:eastAsia="en-GB"/>
        </w:rPr>
      </w:pPr>
      <w:hyperlink w:anchor="_Toc64288808" w:history="1">
        <w:r w:rsidR="00931C6E" w:rsidRPr="009B7D83">
          <w:rPr>
            <w:rStyle w:val="Hyperlink"/>
            <w:noProof/>
          </w:rPr>
          <w:t>Properties and parameters of the natural history</w:t>
        </w:r>
        <w:r w:rsidR="00931C6E">
          <w:rPr>
            <w:noProof/>
            <w:webHidden/>
          </w:rPr>
          <w:tab/>
        </w:r>
        <w:r w:rsidR="00931C6E">
          <w:rPr>
            <w:noProof/>
            <w:webHidden/>
          </w:rPr>
          <w:fldChar w:fldCharType="begin"/>
        </w:r>
        <w:r w:rsidR="00931C6E">
          <w:rPr>
            <w:noProof/>
            <w:webHidden/>
          </w:rPr>
          <w:instrText xml:space="preserve"> PAGEREF _Toc64288808 \h </w:instrText>
        </w:r>
        <w:r w:rsidR="00931C6E">
          <w:rPr>
            <w:noProof/>
            <w:webHidden/>
          </w:rPr>
        </w:r>
        <w:r w:rsidR="00931C6E">
          <w:rPr>
            <w:noProof/>
            <w:webHidden/>
          </w:rPr>
          <w:fldChar w:fldCharType="separate"/>
        </w:r>
        <w:r w:rsidR="00931C6E">
          <w:rPr>
            <w:noProof/>
            <w:webHidden/>
          </w:rPr>
          <w:t>9</w:t>
        </w:r>
        <w:r w:rsidR="00931C6E">
          <w:rPr>
            <w:noProof/>
            <w:webHidden/>
          </w:rPr>
          <w:fldChar w:fldCharType="end"/>
        </w:r>
      </w:hyperlink>
    </w:p>
    <w:p w14:paraId="53E837BF" w14:textId="33CECE4E" w:rsidR="00931C6E" w:rsidRDefault="00E018E1">
      <w:pPr>
        <w:pStyle w:val="TOC3"/>
        <w:tabs>
          <w:tab w:val="right" w:pos="10456"/>
        </w:tabs>
        <w:rPr>
          <w:rFonts w:eastAsiaTheme="minorEastAsia" w:cstheme="minorBidi"/>
          <w:smallCaps w:val="0"/>
          <w:noProof/>
          <w:lang w:eastAsia="en-GB"/>
        </w:rPr>
      </w:pPr>
      <w:hyperlink w:anchor="_Toc64288809" w:history="1">
        <w:r w:rsidR="00931C6E" w:rsidRPr="009B7D83">
          <w:rPr>
            <w:rStyle w:val="Hyperlink"/>
            <w:noProof/>
          </w:rPr>
          <w:t>Limitations in the design of ALRI model concept</w:t>
        </w:r>
        <w:r w:rsidR="00931C6E">
          <w:rPr>
            <w:noProof/>
            <w:webHidden/>
          </w:rPr>
          <w:tab/>
        </w:r>
        <w:r w:rsidR="00931C6E">
          <w:rPr>
            <w:noProof/>
            <w:webHidden/>
          </w:rPr>
          <w:fldChar w:fldCharType="begin"/>
        </w:r>
        <w:r w:rsidR="00931C6E">
          <w:rPr>
            <w:noProof/>
            <w:webHidden/>
          </w:rPr>
          <w:instrText xml:space="preserve"> PAGEREF _Toc64288809 \h </w:instrText>
        </w:r>
        <w:r w:rsidR="00931C6E">
          <w:rPr>
            <w:noProof/>
            <w:webHidden/>
          </w:rPr>
        </w:r>
        <w:r w:rsidR="00931C6E">
          <w:rPr>
            <w:noProof/>
            <w:webHidden/>
          </w:rPr>
          <w:fldChar w:fldCharType="separate"/>
        </w:r>
        <w:r w:rsidR="00931C6E">
          <w:rPr>
            <w:noProof/>
            <w:webHidden/>
          </w:rPr>
          <w:t>16</w:t>
        </w:r>
        <w:r w:rsidR="00931C6E">
          <w:rPr>
            <w:noProof/>
            <w:webHidden/>
          </w:rPr>
          <w:fldChar w:fldCharType="end"/>
        </w:r>
      </w:hyperlink>
    </w:p>
    <w:p w14:paraId="0EAF871C" w14:textId="06311712" w:rsidR="00931C6E" w:rsidRDefault="00E018E1">
      <w:pPr>
        <w:pStyle w:val="TOC2"/>
        <w:tabs>
          <w:tab w:val="right" w:pos="10456"/>
        </w:tabs>
        <w:rPr>
          <w:rFonts w:eastAsiaTheme="minorEastAsia" w:cstheme="minorBidi"/>
          <w:b w:val="0"/>
          <w:bCs w:val="0"/>
          <w:smallCaps w:val="0"/>
          <w:noProof/>
          <w:lang w:eastAsia="en-GB"/>
        </w:rPr>
      </w:pPr>
      <w:hyperlink w:anchor="_Toc64288810" w:history="1">
        <w:r w:rsidR="00931C6E" w:rsidRPr="009B7D83">
          <w:rPr>
            <w:rStyle w:val="Hyperlink"/>
            <w:noProof/>
          </w:rPr>
          <w:t>Integrating ALRI with the Health System</w:t>
        </w:r>
        <w:r w:rsidR="00931C6E">
          <w:rPr>
            <w:noProof/>
            <w:webHidden/>
          </w:rPr>
          <w:tab/>
        </w:r>
        <w:r w:rsidR="00931C6E">
          <w:rPr>
            <w:noProof/>
            <w:webHidden/>
          </w:rPr>
          <w:fldChar w:fldCharType="begin"/>
        </w:r>
        <w:r w:rsidR="00931C6E">
          <w:rPr>
            <w:noProof/>
            <w:webHidden/>
          </w:rPr>
          <w:instrText xml:space="preserve"> PAGEREF _Toc64288810 \h </w:instrText>
        </w:r>
        <w:r w:rsidR="00931C6E">
          <w:rPr>
            <w:noProof/>
            <w:webHidden/>
          </w:rPr>
        </w:r>
        <w:r w:rsidR="00931C6E">
          <w:rPr>
            <w:noProof/>
            <w:webHidden/>
          </w:rPr>
          <w:fldChar w:fldCharType="separate"/>
        </w:r>
        <w:r w:rsidR="00931C6E">
          <w:rPr>
            <w:noProof/>
            <w:webHidden/>
          </w:rPr>
          <w:t>18</w:t>
        </w:r>
        <w:r w:rsidR="00931C6E">
          <w:rPr>
            <w:noProof/>
            <w:webHidden/>
          </w:rPr>
          <w:fldChar w:fldCharType="end"/>
        </w:r>
      </w:hyperlink>
    </w:p>
    <w:p w14:paraId="7EDF0626" w14:textId="4B57160B" w:rsidR="00931C6E" w:rsidRDefault="00E018E1">
      <w:pPr>
        <w:pStyle w:val="TOC3"/>
        <w:tabs>
          <w:tab w:val="right" w:pos="10456"/>
        </w:tabs>
        <w:rPr>
          <w:rFonts w:eastAsiaTheme="minorEastAsia" w:cstheme="minorBidi"/>
          <w:smallCaps w:val="0"/>
          <w:noProof/>
          <w:lang w:eastAsia="en-GB"/>
        </w:rPr>
      </w:pPr>
      <w:hyperlink w:anchor="_Toc64288811" w:history="1">
        <w:r w:rsidR="00931C6E" w:rsidRPr="009B7D83">
          <w:rPr>
            <w:rStyle w:val="Hyperlink"/>
            <w:noProof/>
          </w:rPr>
          <w:t>Health care seeking</w:t>
        </w:r>
        <w:r w:rsidR="00931C6E">
          <w:rPr>
            <w:noProof/>
            <w:webHidden/>
          </w:rPr>
          <w:tab/>
        </w:r>
        <w:r w:rsidR="00931C6E">
          <w:rPr>
            <w:noProof/>
            <w:webHidden/>
          </w:rPr>
          <w:fldChar w:fldCharType="begin"/>
        </w:r>
        <w:r w:rsidR="00931C6E">
          <w:rPr>
            <w:noProof/>
            <w:webHidden/>
          </w:rPr>
          <w:instrText xml:space="preserve"> PAGEREF _Toc64288811 \h </w:instrText>
        </w:r>
        <w:r w:rsidR="00931C6E">
          <w:rPr>
            <w:noProof/>
            <w:webHidden/>
          </w:rPr>
        </w:r>
        <w:r w:rsidR="00931C6E">
          <w:rPr>
            <w:noProof/>
            <w:webHidden/>
          </w:rPr>
          <w:fldChar w:fldCharType="separate"/>
        </w:r>
        <w:r w:rsidR="00931C6E">
          <w:rPr>
            <w:noProof/>
            <w:webHidden/>
          </w:rPr>
          <w:t>18</w:t>
        </w:r>
        <w:r w:rsidR="00931C6E">
          <w:rPr>
            <w:noProof/>
            <w:webHidden/>
          </w:rPr>
          <w:fldChar w:fldCharType="end"/>
        </w:r>
      </w:hyperlink>
    </w:p>
    <w:p w14:paraId="4CFBDCDC" w14:textId="2C4F8598" w:rsidR="00931C6E" w:rsidRDefault="00E018E1">
      <w:pPr>
        <w:pStyle w:val="TOC3"/>
        <w:tabs>
          <w:tab w:val="right" w:pos="10456"/>
        </w:tabs>
        <w:rPr>
          <w:rFonts w:eastAsiaTheme="minorEastAsia" w:cstheme="minorBidi"/>
          <w:smallCaps w:val="0"/>
          <w:noProof/>
          <w:lang w:eastAsia="en-GB"/>
        </w:rPr>
      </w:pPr>
      <w:hyperlink w:anchor="_Toc64288812" w:history="1">
        <w:r w:rsidR="00931C6E" w:rsidRPr="009B7D83">
          <w:rPr>
            <w:rStyle w:val="Hyperlink"/>
            <w:noProof/>
          </w:rPr>
          <w:t>Care management at the community level (facility level 0)</w:t>
        </w:r>
        <w:r w:rsidR="00931C6E">
          <w:rPr>
            <w:noProof/>
            <w:webHidden/>
          </w:rPr>
          <w:tab/>
        </w:r>
        <w:r w:rsidR="00931C6E">
          <w:rPr>
            <w:noProof/>
            <w:webHidden/>
          </w:rPr>
          <w:fldChar w:fldCharType="begin"/>
        </w:r>
        <w:r w:rsidR="00931C6E">
          <w:rPr>
            <w:noProof/>
            <w:webHidden/>
          </w:rPr>
          <w:instrText xml:space="preserve"> PAGEREF _Toc64288812 \h </w:instrText>
        </w:r>
        <w:r w:rsidR="00931C6E">
          <w:rPr>
            <w:noProof/>
            <w:webHidden/>
          </w:rPr>
        </w:r>
        <w:r w:rsidR="00931C6E">
          <w:rPr>
            <w:noProof/>
            <w:webHidden/>
          </w:rPr>
          <w:fldChar w:fldCharType="separate"/>
        </w:r>
        <w:r w:rsidR="00931C6E">
          <w:rPr>
            <w:noProof/>
            <w:webHidden/>
          </w:rPr>
          <w:t>19</w:t>
        </w:r>
        <w:r w:rsidR="00931C6E">
          <w:rPr>
            <w:noProof/>
            <w:webHidden/>
          </w:rPr>
          <w:fldChar w:fldCharType="end"/>
        </w:r>
      </w:hyperlink>
    </w:p>
    <w:p w14:paraId="7554C3E7" w14:textId="7281EC1F" w:rsidR="00931C6E" w:rsidRDefault="00E018E1">
      <w:pPr>
        <w:pStyle w:val="TOC3"/>
        <w:tabs>
          <w:tab w:val="right" w:pos="10456"/>
        </w:tabs>
        <w:rPr>
          <w:rFonts w:eastAsiaTheme="minorEastAsia" w:cstheme="minorBidi"/>
          <w:smallCaps w:val="0"/>
          <w:noProof/>
          <w:lang w:eastAsia="en-GB"/>
        </w:rPr>
      </w:pPr>
      <w:hyperlink w:anchor="_Toc64288813" w:history="1">
        <w:r w:rsidR="00931C6E" w:rsidRPr="009B7D83">
          <w:rPr>
            <w:rStyle w:val="Hyperlink"/>
            <w:noProof/>
          </w:rPr>
          <w:t>Care management at the primary level (facility level 1)</w:t>
        </w:r>
        <w:r w:rsidR="00931C6E">
          <w:rPr>
            <w:noProof/>
            <w:webHidden/>
          </w:rPr>
          <w:tab/>
        </w:r>
        <w:r w:rsidR="00931C6E">
          <w:rPr>
            <w:noProof/>
            <w:webHidden/>
          </w:rPr>
          <w:fldChar w:fldCharType="begin"/>
        </w:r>
        <w:r w:rsidR="00931C6E">
          <w:rPr>
            <w:noProof/>
            <w:webHidden/>
          </w:rPr>
          <w:instrText xml:space="preserve"> PAGEREF _Toc64288813 \h </w:instrText>
        </w:r>
        <w:r w:rsidR="00931C6E">
          <w:rPr>
            <w:noProof/>
            <w:webHidden/>
          </w:rPr>
        </w:r>
        <w:r w:rsidR="00931C6E">
          <w:rPr>
            <w:noProof/>
            <w:webHidden/>
          </w:rPr>
          <w:fldChar w:fldCharType="separate"/>
        </w:r>
        <w:r w:rsidR="00931C6E">
          <w:rPr>
            <w:noProof/>
            <w:webHidden/>
          </w:rPr>
          <w:t>20</w:t>
        </w:r>
        <w:r w:rsidR="00931C6E">
          <w:rPr>
            <w:noProof/>
            <w:webHidden/>
          </w:rPr>
          <w:fldChar w:fldCharType="end"/>
        </w:r>
      </w:hyperlink>
    </w:p>
    <w:p w14:paraId="4FEC68E8" w14:textId="3A7AE4ED" w:rsidR="00931C6E" w:rsidRDefault="00E018E1">
      <w:pPr>
        <w:pStyle w:val="TOC3"/>
        <w:tabs>
          <w:tab w:val="right" w:pos="10456"/>
        </w:tabs>
        <w:rPr>
          <w:rFonts w:eastAsiaTheme="minorEastAsia" w:cstheme="minorBidi"/>
          <w:smallCaps w:val="0"/>
          <w:noProof/>
          <w:lang w:eastAsia="en-GB"/>
        </w:rPr>
      </w:pPr>
      <w:hyperlink w:anchor="_Toc64288814" w:history="1">
        <w:r w:rsidR="00931C6E" w:rsidRPr="009B7D83">
          <w:rPr>
            <w:rStyle w:val="Hyperlink"/>
            <w:noProof/>
          </w:rPr>
          <w:t>Care management at the secondary level (facility level 2)</w:t>
        </w:r>
        <w:r w:rsidR="00931C6E">
          <w:rPr>
            <w:noProof/>
            <w:webHidden/>
          </w:rPr>
          <w:tab/>
        </w:r>
        <w:r w:rsidR="00931C6E">
          <w:rPr>
            <w:noProof/>
            <w:webHidden/>
          </w:rPr>
          <w:fldChar w:fldCharType="begin"/>
        </w:r>
        <w:r w:rsidR="00931C6E">
          <w:rPr>
            <w:noProof/>
            <w:webHidden/>
          </w:rPr>
          <w:instrText xml:space="preserve"> PAGEREF _Toc64288814 \h </w:instrText>
        </w:r>
        <w:r w:rsidR="00931C6E">
          <w:rPr>
            <w:noProof/>
            <w:webHidden/>
          </w:rPr>
        </w:r>
        <w:r w:rsidR="00931C6E">
          <w:rPr>
            <w:noProof/>
            <w:webHidden/>
          </w:rPr>
          <w:fldChar w:fldCharType="separate"/>
        </w:r>
        <w:r w:rsidR="00931C6E">
          <w:rPr>
            <w:noProof/>
            <w:webHidden/>
          </w:rPr>
          <w:t>21</w:t>
        </w:r>
        <w:r w:rsidR="00931C6E">
          <w:rPr>
            <w:noProof/>
            <w:webHidden/>
          </w:rPr>
          <w:fldChar w:fldCharType="end"/>
        </w:r>
      </w:hyperlink>
    </w:p>
    <w:p w14:paraId="3B816D04" w14:textId="530CD73F" w:rsidR="00931C6E" w:rsidRDefault="00E018E1">
      <w:pPr>
        <w:pStyle w:val="TOC2"/>
        <w:tabs>
          <w:tab w:val="right" w:pos="10456"/>
        </w:tabs>
        <w:rPr>
          <w:rFonts w:eastAsiaTheme="minorEastAsia" w:cstheme="minorBidi"/>
          <w:b w:val="0"/>
          <w:bCs w:val="0"/>
          <w:smallCaps w:val="0"/>
          <w:noProof/>
          <w:lang w:eastAsia="en-GB"/>
        </w:rPr>
      </w:pPr>
      <w:hyperlink w:anchor="_Toc64288815" w:history="1">
        <w:r w:rsidR="00931C6E" w:rsidRPr="009B7D83">
          <w:rPr>
            <w:rStyle w:val="Hyperlink"/>
            <w:noProof/>
          </w:rPr>
          <w:t>Example model outputs</w:t>
        </w:r>
        <w:r w:rsidR="00931C6E">
          <w:rPr>
            <w:noProof/>
            <w:webHidden/>
          </w:rPr>
          <w:tab/>
        </w:r>
        <w:r w:rsidR="00931C6E">
          <w:rPr>
            <w:noProof/>
            <w:webHidden/>
          </w:rPr>
          <w:fldChar w:fldCharType="begin"/>
        </w:r>
        <w:r w:rsidR="00931C6E">
          <w:rPr>
            <w:noProof/>
            <w:webHidden/>
          </w:rPr>
          <w:instrText xml:space="preserve"> PAGEREF _Toc64288815 \h </w:instrText>
        </w:r>
        <w:r w:rsidR="00931C6E">
          <w:rPr>
            <w:noProof/>
            <w:webHidden/>
          </w:rPr>
        </w:r>
        <w:r w:rsidR="00931C6E">
          <w:rPr>
            <w:noProof/>
            <w:webHidden/>
          </w:rPr>
          <w:fldChar w:fldCharType="separate"/>
        </w:r>
        <w:r w:rsidR="00931C6E">
          <w:rPr>
            <w:noProof/>
            <w:webHidden/>
          </w:rPr>
          <w:t>24</w:t>
        </w:r>
        <w:r w:rsidR="00931C6E">
          <w:rPr>
            <w:noProof/>
            <w:webHidden/>
          </w:rPr>
          <w:fldChar w:fldCharType="end"/>
        </w:r>
      </w:hyperlink>
    </w:p>
    <w:p w14:paraId="6F3FF908" w14:textId="307C9B7D" w:rsidR="00931C6E" w:rsidRDefault="00E018E1">
      <w:pPr>
        <w:pStyle w:val="TOC3"/>
        <w:tabs>
          <w:tab w:val="right" w:pos="10456"/>
        </w:tabs>
        <w:rPr>
          <w:rFonts w:eastAsiaTheme="minorEastAsia" w:cstheme="minorBidi"/>
          <w:smallCaps w:val="0"/>
          <w:noProof/>
          <w:lang w:eastAsia="en-GB"/>
        </w:rPr>
      </w:pPr>
      <w:hyperlink w:anchor="_Toc64288816" w:history="1">
        <w:r w:rsidR="00931C6E" w:rsidRPr="009B7D83">
          <w:rPr>
            <w:rStyle w:val="Hyperlink"/>
            <w:noProof/>
          </w:rPr>
          <w:t>Health worker’s performance vs IMCI ‘gold-standard’ vs underlying ‘true’ ALRI disease</w:t>
        </w:r>
        <w:r w:rsidR="00931C6E">
          <w:rPr>
            <w:noProof/>
            <w:webHidden/>
          </w:rPr>
          <w:tab/>
        </w:r>
        <w:r w:rsidR="00931C6E">
          <w:rPr>
            <w:noProof/>
            <w:webHidden/>
          </w:rPr>
          <w:fldChar w:fldCharType="begin"/>
        </w:r>
        <w:r w:rsidR="00931C6E">
          <w:rPr>
            <w:noProof/>
            <w:webHidden/>
          </w:rPr>
          <w:instrText xml:space="preserve"> PAGEREF _Toc64288816 \h </w:instrText>
        </w:r>
        <w:r w:rsidR="00931C6E">
          <w:rPr>
            <w:noProof/>
            <w:webHidden/>
          </w:rPr>
        </w:r>
        <w:r w:rsidR="00931C6E">
          <w:rPr>
            <w:noProof/>
            <w:webHidden/>
          </w:rPr>
          <w:fldChar w:fldCharType="separate"/>
        </w:r>
        <w:r w:rsidR="00931C6E">
          <w:rPr>
            <w:noProof/>
            <w:webHidden/>
          </w:rPr>
          <w:t>24</w:t>
        </w:r>
        <w:r w:rsidR="00931C6E">
          <w:rPr>
            <w:noProof/>
            <w:webHidden/>
          </w:rPr>
          <w:fldChar w:fldCharType="end"/>
        </w:r>
      </w:hyperlink>
    </w:p>
    <w:p w14:paraId="0441AC29" w14:textId="71E3BF33" w:rsidR="00931C6E" w:rsidRDefault="00E018E1">
      <w:pPr>
        <w:pStyle w:val="TOC1"/>
        <w:tabs>
          <w:tab w:val="right" w:pos="10456"/>
        </w:tabs>
        <w:rPr>
          <w:rFonts w:eastAsiaTheme="minorEastAsia" w:cstheme="minorBidi"/>
          <w:b w:val="0"/>
          <w:bCs w:val="0"/>
          <w:caps w:val="0"/>
          <w:noProof/>
          <w:u w:val="none"/>
          <w:lang w:eastAsia="en-GB"/>
        </w:rPr>
      </w:pPr>
      <w:hyperlink w:anchor="_Toc64288817" w:history="1">
        <w:r w:rsidR="00931C6E" w:rsidRPr="009B7D83">
          <w:rPr>
            <w:rStyle w:val="Hyperlink"/>
            <w:noProof/>
          </w:rPr>
          <w:t>Policy questions for ALRI model</w:t>
        </w:r>
        <w:r w:rsidR="00931C6E">
          <w:rPr>
            <w:noProof/>
            <w:webHidden/>
          </w:rPr>
          <w:tab/>
        </w:r>
        <w:r w:rsidR="00931C6E">
          <w:rPr>
            <w:noProof/>
            <w:webHidden/>
          </w:rPr>
          <w:fldChar w:fldCharType="begin"/>
        </w:r>
        <w:r w:rsidR="00931C6E">
          <w:rPr>
            <w:noProof/>
            <w:webHidden/>
          </w:rPr>
          <w:instrText xml:space="preserve"> PAGEREF _Toc64288817 \h </w:instrText>
        </w:r>
        <w:r w:rsidR="00931C6E">
          <w:rPr>
            <w:noProof/>
            <w:webHidden/>
          </w:rPr>
        </w:r>
        <w:r w:rsidR="00931C6E">
          <w:rPr>
            <w:noProof/>
            <w:webHidden/>
          </w:rPr>
          <w:fldChar w:fldCharType="separate"/>
        </w:r>
        <w:r w:rsidR="00931C6E">
          <w:rPr>
            <w:noProof/>
            <w:webHidden/>
          </w:rPr>
          <w:t>26</w:t>
        </w:r>
        <w:r w:rsidR="00931C6E">
          <w:rPr>
            <w:noProof/>
            <w:webHidden/>
          </w:rPr>
          <w:fldChar w:fldCharType="end"/>
        </w:r>
      </w:hyperlink>
    </w:p>
    <w:p w14:paraId="667644EF" w14:textId="19082D84" w:rsidR="00931C6E" w:rsidRDefault="00E018E1">
      <w:pPr>
        <w:pStyle w:val="TOC2"/>
        <w:tabs>
          <w:tab w:val="right" w:pos="10456"/>
        </w:tabs>
        <w:rPr>
          <w:rFonts w:eastAsiaTheme="minorEastAsia" w:cstheme="minorBidi"/>
          <w:b w:val="0"/>
          <w:bCs w:val="0"/>
          <w:smallCaps w:val="0"/>
          <w:noProof/>
          <w:lang w:eastAsia="en-GB"/>
        </w:rPr>
      </w:pPr>
      <w:hyperlink w:anchor="_Toc64288818" w:history="1">
        <w:r w:rsidR="00931C6E" w:rsidRPr="009B7D83">
          <w:rPr>
            <w:rStyle w:val="Hyperlink"/>
            <w:noProof/>
          </w:rPr>
          <w:t>How are policy questions formulated? – Baseline analysis</w:t>
        </w:r>
        <w:r w:rsidR="00931C6E">
          <w:rPr>
            <w:noProof/>
            <w:webHidden/>
          </w:rPr>
          <w:tab/>
        </w:r>
        <w:r w:rsidR="00931C6E">
          <w:rPr>
            <w:noProof/>
            <w:webHidden/>
          </w:rPr>
          <w:fldChar w:fldCharType="begin"/>
        </w:r>
        <w:r w:rsidR="00931C6E">
          <w:rPr>
            <w:noProof/>
            <w:webHidden/>
          </w:rPr>
          <w:instrText xml:space="preserve"> PAGEREF _Toc64288818 \h </w:instrText>
        </w:r>
        <w:r w:rsidR="00931C6E">
          <w:rPr>
            <w:noProof/>
            <w:webHidden/>
          </w:rPr>
        </w:r>
        <w:r w:rsidR="00931C6E">
          <w:rPr>
            <w:noProof/>
            <w:webHidden/>
          </w:rPr>
          <w:fldChar w:fldCharType="separate"/>
        </w:r>
        <w:r w:rsidR="00931C6E">
          <w:rPr>
            <w:noProof/>
            <w:webHidden/>
          </w:rPr>
          <w:t>26</w:t>
        </w:r>
        <w:r w:rsidR="00931C6E">
          <w:rPr>
            <w:noProof/>
            <w:webHidden/>
          </w:rPr>
          <w:fldChar w:fldCharType="end"/>
        </w:r>
      </w:hyperlink>
    </w:p>
    <w:p w14:paraId="623F6CD3" w14:textId="3BC512B2" w:rsidR="00931C6E" w:rsidRDefault="00E018E1">
      <w:pPr>
        <w:pStyle w:val="TOC2"/>
        <w:tabs>
          <w:tab w:val="right" w:pos="10456"/>
        </w:tabs>
        <w:rPr>
          <w:rFonts w:eastAsiaTheme="minorEastAsia" w:cstheme="minorBidi"/>
          <w:b w:val="0"/>
          <w:bCs w:val="0"/>
          <w:smallCaps w:val="0"/>
          <w:noProof/>
          <w:lang w:eastAsia="en-GB"/>
        </w:rPr>
      </w:pPr>
      <w:hyperlink w:anchor="_Toc64288819" w:history="1">
        <w:r w:rsidR="00931C6E" w:rsidRPr="009B7D83">
          <w:rPr>
            <w:rStyle w:val="Hyperlink"/>
            <w:noProof/>
          </w:rPr>
          <w:t>Key questions/ outputs from the model</w:t>
        </w:r>
        <w:r w:rsidR="00931C6E">
          <w:rPr>
            <w:noProof/>
            <w:webHidden/>
          </w:rPr>
          <w:tab/>
        </w:r>
        <w:r w:rsidR="00931C6E">
          <w:rPr>
            <w:noProof/>
            <w:webHidden/>
          </w:rPr>
          <w:fldChar w:fldCharType="begin"/>
        </w:r>
        <w:r w:rsidR="00931C6E">
          <w:rPr>
            <w:noProof/>
            <w:webHidden/>
          </w:rPr>
          <w:instrText xml:space="preserve"> PAGEREF _Toc64288819 \h </w:instrText>
        </w:r>
        <w:r w:rsidR="00931C6E">
          <w:rPr>
            <w:noProof/>
            <w:webHidden/>
          </w:rPr>
        </w:r>
        <w:r w:rsidR="00931C6E">
          <w:rPr>
            <w:noProof/>
            <w:webHidden/>
          </w:rPr>
          <w:fldChar w:fldCharType="separate"/>
        </w:r>
        <w:r w:rsidR="00931C6E">
          <w:rPr>
            <w:noProof/>
            <w:webHidden/>
          </w:rPr>
          <w:t>26</w:t>
        </w:r>
        <w:r w:rsidR="00931C6E">
          <w:rPr>
            <w:noProof/>
            <w:webHidden/>
          </w:rPr>
          <w:fldChar w:fldCharType="end"/>
        </w:r>
      </w:hyperlink>
    </w:p>
    <w:p w14:paraId="363EB8FD" w14:textId="5815CF2C" w:rsidR="00931C6E" w:rsidRDefault="00E018E1">
      <w:pPr>
        <w:pStyle w:val="TOC3"/>
        <w:tabs>
          <w:tab w:val="right" w:pos="10456"/>
        </w:tabs>
        <w:rPr>
          <w:rFonts w:eastAsiaTheme="minorEastAsia" w:cstheme="minorBidi"/>
          <w:smallCaps w:val="0"/>
          <w:noProof/>
          <w:lang w:eastAsia="en-GB"/>
        </w:rPr>
      </w:pPr>
      <w:hyperlink w:anchor="_Toc64288820" w:history="1">
        <w:r w:rsidR="00931C6E" w:rsidRPr="009B7D83">
          <w:rPr>
            <w:rStyle w:val="Hyperlink"/>
            <w:noProof/>
          </w:rPr>
          <w:t>Key question 1 – Implementation of RSV vaccine</w:t>
        </w:r>
        <w:r w:rsidR="00931C6E">
          <w:rPr>
            <w:noProof/>
            <w:webHidden/>
          </w:rPr>
          <w:tab/>
        </w:r>
        <w:r w:rsidR="00931C6E">
          <w:rPr>
            <w:noProof/>
            <w:webHidden/>
          </w:rPr>
          <w:fldChar w:fldCharType="begin"/>
        </w:r>
        <w:r w:rsidR="00931C6E">
          <w:rPr>
            <w:noProof/>
            <w:webHidden/>
          </w:rPr>
          <w:instrText xml:space="preserve"> PAGEREF _Toc64288820 \h </w:instrText>
        </w:r>
        <w:r w:rsidR="00931C6E">
          <w:rPr>
            <w:noProof/>
            <w:webHidden/>
          </w:rPr>
        </w:r>
        <w:r w:rsidR="00931C6E">
          <w:rPr>
            <w:noProof/>
            <w:webHidden/>
          </w:rPr>
          <w:fldChar w:fldCharType="separate"/>
        </w:r>
        <w:r w:rsidR="00931C6E">
          <w:rPr>
            <w:noProof/>
            <w:webHidden/>
          </w:rPr>
          <w:t>26</w:t>
        </w:r>
        <w:r w:rsidR="00931C6E">
          <w:rPr>
            <w:noProof/>
            <w:webHidden/>
          </w:rPr>
          <w:fldChar w:fldCharType="end"/>
        </w:r>
      </w:hyperlink>
    </w:p>
    <w:p w14:paraId="1F4B8FB0" w14:textId="1612E55B" w:rsidR="00931C6E" w:rsidRDefault="00E018E1">
      <w:pPr>
        <w:pStyle w:val="TOC3"/>
        <w:tabs>
          <w:tab w:val="right" w:pos="10456"/>
        </w:tabs>
        <w:rPr>
          <w:rFonts w:eastAsiaTheme="minorEastAsia" w:cstheme="minorBidi"/>
          <w:smallCaps w:val="0"/>
          <w:noProof/>
          <w:lang w:eastAsia="en-GB"/>
        </w:rPr>
      </w:pPr>
      <w:hyperlink w:anchor="_Toc64288821" w:history="1">
        <w:r w:rsidR="00931C6E" w:rsidRPr="009B7D83">
          <w:rPr>
            <w:rStyle w:val="Hyperlink"/>
            <w:noProof/>
          </w:rPr>
          <w:t>Key question 2 – Scale-up of pulse oximetry</w:t>
        </w:r>
        <w:r w:rsidR="00931C6E">
          <w:rPr>
            <w:noProof/>
            <w:webHidden/>
          </w:rPr>
          <w:tab/>
        </w:r>
        <w:r w:rsidR="00931C6E">
          <w:rPr>
            <w:noProof/>
            <w:webHidden/>
          </w:rPr>
          <w:fldChar w:fldCharType="begin"/>
        </w:r>
        <w:r w:rsidR="00931C6E">
          <w:rPr>
            <w:noProof/>
            <w:webHidden/>
          </w:rPr>
          <w:instrText xml:space="preserve"> PAGEREF _Toc64288821 \h </w:instrText>
        </w:r>
        <w:r w:rsidR="00931C6E">
          <w:rPr>
            <w:noProof/>
            <w:webHidden/>
          </w:rPr>
        </w:r>
        <w:r w:rsidR="00931C6E">
          <w:rPr>
            <w:noProof/>
            <w:webHidden/>
          </w:rPr>
          <w:fldChar w:fldCharType="separate"/>
        </w:r>
        <w:r w:rsidR="00931C6E">
          <w:rPr>
            <w:noProof/>
            <w:webHidden/>
          </w:rPr>
          <w:t>27</w:t>
        </w:r>
        <w:r w:rsidR="00931C6E">
          <w:rPr>
            <w:noProof/>
            <w:webHidden/>
          </w:rPr>
          <w:fldChar w:fldCharType="end"/>
        </w:r>
      </w:hyperlink>
    </w:p>
    <w:p w14:paraId="30D41B3F" w14:textId="02431081" w:rsidR="00931C6E" w:rsidRDefault="00E018E1">
      <w:pPr>
        <w:pStyle w:val="TOC3"/>
        <w:tabs>
          <w:tab w:val="right" w:pos="10456"/>
        </w:tabs>
        <w:rPr>
          <w:rFonts w:eastAsiaTheme="minorEastAsia" w:cstheme="minorBidi"/>
          <w:smallCaps w:val="0"/>
          <w:noProof/>
          <w:lang w:eastAsia="en-GB"/>
        </w:rPr>
      </w:pPr>
      <w:hyperlink w:anchor="_Toc64288822" w:history="1">
        <w:r w:rsidR="00931C6E" w:rsidRPr="009B7D83">
          <w:rPr>
            <w:rStyle w:val="Hyperlink"/>
            <w:noProof/>
          </w:rPr>
          <w:t>Key question 3 – Scale-up of oxygen therapy</w:t>
        </w:r>
        <w:r w:rsidR="00931C6E">
          <w:rPr>
            <w:noProof/>
            <w:webHidden/>
          </w:rPr>
          <w:tab/>
        </w:r>
        <w:r w:rsidR="00931C6E">
          <w:rPr>
            <w:noProof/>
            <w:webHidden/>
          </w:rPr>
          <w:fldChar w:fldCharType="begin"/>
        </w:r>
        <w:r w:rsidR="00931C6E">
          <w:rPr>
            <w:noProof/>
            <w:webHidden/>
          </w:rPr>
          <w:instrText xml:space="preserve"> PAGEREF _Toc64288822 \h </w:instrText>
        </w:r>
        <w:r w:rsidR="00931C6E">
          <w:rPr>
            <w:noProof/>
            <w:webHidden/>
          </w:rPr>
        </w:r>
        <w:r w:rsidR="00931C6E">
          <w:rPr>
            <w:noProof/>
            <w:webHidden/>
          </w:rPr>
          <w:fldChar w:fldCharType="separate"/>
        </w:r>
        <w:r w:rsidR="00931C6E">
          <w:rPr>
            <w:noProof/>
            <w:webHidden/>
          </w:rPr>
          <w:t>27</w:t>
        </w:r>
        <w:r w:rsidR="00931C6E">
          <w:rPr>
            <w:noProof/>
            <w:webHidden/>
          </w:rPr>
          <w:fldChar w:fldCharType="end"/>
        </w:r>
      </w:hyperlink>
    </w:p>
    <w:p w14:paraId="5425FE3A" w14:textId="028449C3" w:rsidR="00931C6E" w:rsidRDefault="00E018E1">
      <w:pPr>
        <w:pStyle w:val="TOC3"/>
        <w:tabs>
          <w:tab w:val="right" w:pos="10456"/>
        </w:tabs>
        <w:rPr>
          <w:rFonts w:eastAsiaTheme="minorEastAsia" w:cstheme="minorBidi"/>
          <w:smallCaps w:val="0"/>
          <w:noProof/>
          <w:lang w:eastAsia="en-GB"/>
        </w:rPr>
      </w:pPr>
      <w:hyperlink w:anchor="_Toc64288823" w:history="1">
        <w:r w:rsidR="00931C6E" w:rsidRPr="009B7D83">
          <w:rPr>
            <w:rStyle w:val="Hyperlink"/>
            <w:noProof/>
          </w:rPr>
          <w:t>Key question 4 – Improved health worker sensitivity</w:t>
        </w:r>
        <w:r w:rsidR="00931C6E">
          <w:rPr>
            <w:noProof/>
            <w:webHidden/>
          </w:rPr>
          <w:tab/>
        </w:r>
        <w:r w:rsidR="00931C6E">
          <w:rPr>
            <w:noProof/>
            <w:webHidden/>
          </w:rPr>
          <w:fldChar w:fldCharType="begin"/>
        </w:r>
        <w:r w:rsidR="00931C6E">
          <w:rPr>
            <w:noProof/>
            <w:webHidden/>
          </w:rPr>
          <w:instrText xml:space="preserve"> PAGEREF _Toc64288823 \h </w:instrText>
        </w:r>
        <w:r w:rsidR="00931C6E">
          <w:rPr>
            <w:noProof/>
            <w:webHidden/>
          </w:rPr>
        </w:r>
        <w:r w:rsidR="00931C6E">
          <w:rPr>
            <w:noProof/>
            <w:webHidden/>
          </w:rPr>
          <w:fldChar w:fldCharType="separate"/>
        </w:r>
        <w:r w:rsidR="00931C6E">
          <w:rPr>
            <w:noProof/>
            <w:webHidden/>
          </w:rPr>
          <w:t>27</w:t>
        </w:r>
        <w:r w:rsidR="00931C6E">
          <w:rPr>
            <w:noProof/>
            <w:webHidden/>
          </w:rPr>
          <w:fldChar w:fldCharType="end"/>
        </w:r>
      </w:hyperlink>
    </w:p>
    <w:p w14:paraId="5096D5B4" w14:textId="712A0B47" w:rsidR="00931C6E" w:rsidRDefault="00E018E1">
      <w:pPr>
        <w:pStyle w:val="TOC2"/>
        <w:tabs>
          <w:tab w:val="right" w:pos="10456"/>
        </w:tabs>
        <w:rPr>
          <w:rFonts w:eastAsiaTheme="minorEastAsia" w:cstheme="minorBidi"/>
          <w:b w:val="0"/>
          <w:bCs w:val="0"/>
          <w:smallCaps w:val="0"/>
          <w:noProof/>
          <w:lang w:eastAsia="en-GB"/>
        </w:rPr>
      </w:pPr>
      <w:hyperlink w:anchor="_Toc64288824" w:history="1">
        <w:r w:rsidR="00931C6E" w:rsidRPr="009B7D83">
          <w:rPr>
            <w:rStyle w:val="Hyperlink"/>
            <w:noProof/>
          </w:rPr>
          <w:t>End goal of proposed analyses</w:t>
        </w:r>
        <w:r w:rsidR="00931C6E">
          <w:rPr>
            <w:noProof/>
            <w:webHidden/>
          </w:rPr>
          <w:tab/>
        </w:r>
        <w:r w:rsidR="00931C6E">
          <w:rPr>
            <w:noProof/>
            <w:webHidden/>
          </w:rPr>
          <w:fldChar w:fldCharType="begin"/>
        </w:r>
        <w:r w:rsidR="00931C6E">
          <w:rPr>
            <w:noProof/>
            <w:webHidden/>
          </w:rPr>
          <w:instrText xml:space="preserve"> PAGEREF _Toc64288824 \h </w:instrText>
        </w:r>
        <w:r w:rsidR="00931C6E">
          <w:rPr>
            <w:noProof/>
            <w:webHidden/>
          </w:rPr>
        </w:r>
        <w:r w:rsidR="00931C6E">
          <w:rPr>
            <w:noProof/>
            <w:webHidden/>
          </w:rPr>
          <w:fldChar w:fldCharType="separate"/>
        </w:r>
        <w:r w:rsidR="00931C6E">
          <w:rPr>
            <w:noProof/>
            <w:webHidden/>
          </w:rPr>
          <w:t>27</w:t>
        </w:r>
        <w:r w:rsidR="00931C6E">
          <w:rPr>
            <w:noProof/>
            <w:webHidden/>
          </w:rPr>
          <w:fldChar w:fldCharType="end"/>
        </w:r>
      </w:hyperlink>
    </w:p>
    <w:p w14:paraId="4591440A" w14:textId="47D387AC" w:rsidR="00931C6E" w:rsidRDefault="00E018E1">
      <w:pPr>
        <w:pStyle w:val="TOC1"/>
        <w:tabs>
          <w:tab w:val="right" w:pos="10456"/>
        </w:tabs>
        <w:rPr>
          <w:rFonts w:eastAsiaTheme="minorEastAsia" w:cstheme="minorBidi"/>
          <w:b w:val="0"/>
          <w:bCs w:val="0"/>
          <w:caps w:val="0"/>
          <w:noProof/>
          <w:u w:val="none"/>
          <w:lang w:eastAsia="en-GB"/>
        </w:rPr>
      </w:pPr>
      <w:hyperlink w:anchor="_Toc64288825" w:history="1">
        <w:r w:rsidR="00931C6E" w:rsidRPr="009B7D83">
          <w:rPr>
            <w:rStyle w:val="Hyperlink"/>
            <w:noProof/>
          </w:rPr>
          <w:t>ALRI Properties update</w:t>
        </w:r>
        <w:r w:rsidR="00931C6E">
          <w:rPr>
            <w:noProof/>
            <w:webHidden/>
          </w:rPr>
          <w:tab/>
        </w:r>
        <w:r w:rsidR="00931C6E">
          <w:rPr>
            <w:noProof/>
            <w:webHidden/>
          </w:rPr>
          <w:fldChar w:fldCharType="begin"/>
        </w:r>
        <w:r w:rsidR="00931C6E">
          <w:rPr>
            <w:noProof/>
            <w:webHidden/>
          </w:rPr>
          <w:instrText xml:space="preserve"> PAGEREF _Toc64288825 \h </w:instrText>
        </w:r>
        <w:r w:rsidR="00931C6E">
          <w:rPr>
            <w:noProof/>
            <w:webHidden/>
          </w:rPr>
        </w:r>
        <w:r w:rsidR="00931C6E">
          <w:rPr>
            <w:noProof/>
            <w:webHidden/>
          </w:rPr>
          <w:fldChar w:fldCharType="separate"/>
        </w:r>
        <w:r w:rsidR="00931C6E">
          <w:rPr>
            <w:noProof/>
            <w:webHidden/>
          </w:rPr>
          <w:t>28</w:t>
        </w:r>
        <w:r w:rsidR="00931C6E">
          <w:rPr>
            <w:noProof/>
            <w:webHidden/>
          </w:rPr>
          <w:fldChar w:fldCharType="end"/>
        </w:r>
      </w:hyperlink>
    </w:p>
    <w:p w14:paraId="70EC11D1" w14:textId="7CCF220D" w:rsidR="00931C6E" w:rsidRDefault="00E018E1">
      <w:pPr>
        <w:pStyle w:val="TOC1"/>
        <w:tabs>
          <w:tab w:val="right" w:pos="10456"/>
        </w:tabs>
        <w:rPr>
          <w:rFonts w:eastAsiaTheme="minorEastAsia" w:cstheme="minorBidi"/>
          <w:b w:val="0"/>
          <w:bCs w:val="0"/>
          <w:caps w:val="0"/>
          <w:noProof/>
          <w:u w:val="none"/>
          <w:lang w:eastAsia="en-GB"/>
        </w:rPr>
      </w:pPr>
      <w:hyperlink w:anchor="_Toc64288826" w:history="1">
        <w:r w:rsidR="00931C6E" w:rsidRPr="009B7D83">
          <w:rPr>
            <w:rStyle w:val="Hyperlink"/>
            <w:noProof/>
          </w:rPr>
          <w:t>References</w:t>
        </w:r>
        <w:r w:rsidR="00931C6E">
          <w:rPr>
            <w:noProof/>
            <w:webHidden/>
          </w:rPr>
          <w:tab/>
        </w:r>
        <w:r w:rsidR="00931C6E">
          <w:rPr>
            <w:noProof/>
            <w:webHidden/>
          </w:rPr>
          <w:fldChar w:fldCharType="begin"/>
        </w:r>
        <w:r w:rsidR="00931C6E">
          <w:rPr>
            <w:noProof/>
            <w:webHidden/>
          </w:rPr>
          <w:instrText xml:space="preserve"> PAGEREF _Toc64288826 \h </w:instrText>
        </w:r>
        <w:r w:rsidR="00931C6E">
          <w:rPr>
            <w:noProof/>
            <w:webHidden/>
          </w:rPr>
        </w:r>
        <w:r w:rsidR="00931C6E">
          <w:rPr>
            <w:noProof/>
            <w:webHidden/>
          </w:rPr>
          <w:fldChar w:fldCharType="separate"/>
        </w:r>
        <w:r w:rsidR="00931C6E">
          <w:rPr>
            <w:noProof/>
            <w:webHidden/>
          </w:rPr>
          <w:t>34</w:t>
        </w:r>
        <w:r w:rsidR="00931C6E">
          <w:rPr>
            <w:noProof/>
            <w:webHidden/>
          </w:rPr>
          <w:fldChar w:fldCharType="end"/>
        </w:r>
      </w:hyperlink>
    </w:p>
    <w:p w14:paraId="444494F4" w14:textId="4FA544E4" w:rsidR="00A87C5C" w:rsidRDefault="000A203E">
      <w:pPr>
        <w:spacing w:after="160" w:line="259" w:lineRule="auto"/>
        <w:ind w:firstLine="0"/>
        <w:contextualSpacing w:val="0"/>
        <w:jc w:val="left"/>
        <w:rPr>
          <w:rFonts w:eastAsiaTheme="majorEastAsia" w:cstheme="majorBidi"/>
          <w:b/>
          <w:color w:val="2F5496" w:themeColor="accent5" w:themeShade="BF"/>
          <w:sz w:val="28"/>
          <w:szCs w:val="32"/>
        </w:rPr>
      </w:pPr>
      <w:r>
        <w:rPr>
          <w:rFonts w:asciiTheme="minorHAnsi" w:hAnsiTheme="minorHAnsi" w:cstheme="minorHAnsi"/>
          <w:i/>
          <w:iCs/>
          <w:caps/>
          <w:sz w:val="24"/>
          <w:szCs w:val="24"/>
          <w:u w:val="single"/>
        </w:rPr>
        <w:fldChar w:fldCharType="end"/>
      </w:r>
      <w:r w:rsidR="00A87C5C">
        <w:br w:type="page"/>
      </w:r>
    </w:p>
    <w:p w14:paraId="32E2574C" w14:textId="554B4937" w:rsidR="00F759ED" w:rsidRDefault="00021D36" w:rsidP="000A08BE">
      <w:pPr>
        <w:pStyle w:val="Heading1"/>
      </w:pPr>
      <w:bookmarkStart w:id="0" w:name="_Toc64288799"/>
      <w:r>
        <w:lastRenderedPageBreak/>
        <w:t>A</w:t>
      </w:r>
      <w:r w:rsidR="00F759ED">
        <w:t xml:space="preserve">cute Lower </w:t>
      </w:r>
      <w:r w:rsidR="00F759ED" w:rsidRPr="000A08BE">
        <w:t>Respiratory</w:t>
      </w:r>
      <w:r w:rsidR="00671AF3">
        <w:t xml:space="preserve"> Infection</w:t>
      </w:r>
      <w:r w:rsidR="00F759ED">
        <w:t xml:space="preserve"> </w:t>
      </w:r>
      <w:r w:rsidR="004C3F90">
        <w:t xml:space="preserve">(ALRI) </w:t>
      </w:r>
      <w:r w:rsidR="00F759ED">
        <w:t>Mod</w:t>
      </w:r>
      <w:r>
        <w:t>ule</w:t>
      </w:r>
      <w:bookmarkEnd w:id="0"/>
    </w:p>
    <w:p w14:paraId="1BCB3607" w14:textId="77777777" w:rsidR="00765DF9" w:rsidRDefault="00021D36" w:rsidP="000A08BE">
      <w:pPr>
        <w:pStyle w:val="Heading2"/>
      </w:pPr>
      <w:bookmarkStart w:id="1" w:name="_Toc64288800"/>
      <w:r w:rsidRPr="00B3649D">
        <w:t>Background</w:t>
      </w:r>
      <w:bookmarkEnd w:id="1"/>
    </w:p>
    <w:p w14:paraId="6B76D23C" w14:textId="5DE45DA4" w:rsidR="00021D36" w:rsidRPr="00B3649D" w:rsidRDefault="00021D36" w:rsidP="00765DF9">
      <w:pPr>
        <w:pStyle w:val="Heading3"/>
      </w:pPr>
      <w:bookmarkStart w:id="2" w:name="_Toc64288801"/>
      <w:r w:rsidRPr="00B3649D">
        <w:t>The Thanzi La Onse Model</w:t>
      </w:r>
      <w:bookmarkEnd w:id="2"/>
    </w:p>
    <w:p w14:paraId="486C4287" w14:textId="64A20990" w:rsidR="00021D36" w:rsidRPr="00A915AF" w:rsidRDefault="00021D36" w:rsidP="000A08BE">
      <w:r>
        <w:t xml:space="preserve">As part of the Thanzi La Onse program a model is being developed which aims to capture the health experiences of the population of Malawi and the consequent interactions with the health care system. The intent is that this model will help to inform future delivery of health care in Malawi.  The model is an individual based model – which means we explicitly simulate the individual life and health experiences of a representative proportion of population of Malawi. The simulation initiates on 1 Jan 2010 and we attempt to simulate the attributes of the population at that point.  We can run the model forward to any specified future time point. Each potential intervention and its associated diseases are being modelled. This is being divided into separate disease/intervention modules. This document describes the module on </w:t>
      </w:r>
      <w:r w:rsidR="004C3F90">
        <w:t>acute lower respiratory tract infections</w:t>
      </w:r>
      <w:r w:rsidR="0060194F">
        <w:t xml:space="preserve"> (ALRI)</w:t>
      </w:r>
      <w:r w:rsidR="004C3F90">
        <w:t>.</w:t>
      </w:r>
      <w:r w:rsidR="002954DA">
        <w:t xml:space="preserve"> </w:t>
      </w:r>
    </w:p>
    <w:p w14:paraId="7C412342" w14:textId="0DEB3D73" w:rsidR="00021D36" w:rsidRPr="00B3649D" w:rsidRDefault="00021D36" w:rsidP="004C3F90">
      <w:pPr>
        <w:pStyle w:val="Heading3"/>
      </w:pPr>
      <w:bookmarkStart w:id="3" w:name="_Toc64288802"/>
      <w:r w:rsidRPr="00B3649D">
        <w:t>General approach to decisions on modelling causal influences and effects of interventions</w:t>
      </w:r>
      <w:bookmarkEnd w:id="3"/>
    </w:p>
    <w:p w14:paraId="69F2A298" w14:textId="274E2187" w:rsidR="00021D36" w:rsidRPr="0008547E" w:rsidRDefault="00021D36" w:rsidP="00021D36">
      <w:pPr>
        <w:rPr>
          <w:bCs/>
        </w:rPr>
      </w:pPr>
      <w:r>
        <w:rPr>
          <w:bCs/>
        </w:rPr>
        <w:t xml:space="preserve">This module was designed in the context of an overall approach to modelling causal effects in general and causal effects of interventions in particular. </w:t>
      </w:r>
      <w:r>
        <w:t>The overall intent is to adopt as simple a structure as can be conceived, whilst still capturing the essential elements of a disease and the interventions used to prevent or treatment.  We include a causal link between a “variable” (by which we mean a characteristic or property of an individual, whether that be demographic, social or biologic), and risk of disease or another variable if there is strong evidence from an overall body of studies that such a causal link exists and is at least moderately strong.  In informing such decisions we place particular value on RCTs or studies with a quasi-experimental design such as analyses based on an instrumental variable. There is no expectation that such studies will be from Malawi or even from Africa.  If there are such local studies and in the unlikely event that they provide strong evidence to suggest that the causal link is substantively different in Malawi then the intent is that this is taken into account and the Malawi-specific link included.</w:t>
      </w:r>
    </w:p>
    <w:p w14:paraId="1C5498BB" w14:textId="45FB827A" w:rsidR="00021D36" w:rsidRDefault="00021D36" w:rsidP="00021D36">
      <w:r>
        <w:t xml:space="preserve">In the special case of a potential causal variable which relates to whether an individual has experienced or is experiencing an intervention the intent is to only include interventions if there is substantial RCT evidence of their beneficial effect, based on trials with objectively ascertained clinical endpoints with low risk of serious bias. Whilst DCP-3 (and to some extent the Malawi EHP) provides an initial list of such interventions and the evidence to support them, where possible our intent has been to form our own opinion on intervention efficacy based on the source trials.  </w:t>
      </w:r>
    </w:p>
    <w:p w14:paraId="74740CE8" w14:textId="1DBED17B" w:rsidR="00021D36" w:rsidRDefault="00021D36" w:rsidP="00021D36">
      <w:r>
        <w:t>Unless there is evidence to the contrary, the intent is to summarize and incorporate intervention effects into the model as relative risks or rates rather than absolute differences due to the fact that such measures are less likely to di</w:t>
      </w:r>
      <w:r w:rsidR="004C3F90">
        <w:t xml:space="preserve">ffer substantively by context. </w:t>
      </w:r>
      <w:r>
        <w:t>Interactions between characteristics (on the multiplicative scale) are only to be incorporate</w:t>
      </w:r>
      <w:r w:rsidR="004C3F90">
        <w:t xml:space="preserve">d if there is strong evidence. </w:t>
      </w:r>
      <w:r>
        <w:t>Again, we have not intended to rely on data from Malawi or Africa for such evidence but if local evidence exists which strongly suggests a different effect than elsewhere then the intent is that this modified effect is incorporated in the model.</w:t>
      </w:r>
    </w:p>
    <w:p w14:paraId="1F606B44" w14:textId="14A128F7" w:rsidR="00021D36" w:rsidRPr="00B3649D" w:rsidRDefault="00021D36" w:rsidP="004C3F90">
      <w:pPr>
        <w:pStyle w:val="Heading3"/>
      </w:pPr>
      <w:bookmarkStart w:id="4" w:name="_Toc64288803"/>
      <w:r w:rsidRPr="00B3649D">
        <w:t>Demographic and social characteristics modelled</w:t>
      </w:r>
      <w:bookmarkEnd w:id="4"/>
    </w:p>
    <w:p w14:paraId="48C1D7CC" w14:textId="68064E2C" w:rsidR="00A87C5C" w:rsidRPr="006310BD" w:rsidRDefault="00A87C5C" w:rsidP="00A87C5C">
      <w:r>
        <w:t>Based on data on the distribution of the population in Malawi according to geographic location we assign individuals a geographic location, which maps onto whether they are classified as living in a rural or urban area. Informed largely by data from the Malawi DHS, variables are also created indicating the person’s wealth level (based on 5 quintiles), whether the person has access to improved sanitation, clean drinking water, hand washing facilities, and whether they experience indoor air pollution (wood burning stove). We assign individuals a current education status (none, primary, secondary) which is updated 3 monthly from age 5 to 20. From age 15 BMI (in 5 groups) is assigned, as well as using tobacco, drinking excess alcohol, having low exercise, high salt intake, high sugar intake. The status with regard to such variables for individuals can change over time. The influences between these variables are described in detail in a separate document.</w:t>
      </w:r>
    </w:p>
    <w:p w14:paraId="7B48D33C" w14:textId="77A63B46" w:rsidR="006310BD" w:rsidRDefault="006310BD" w:rsidP="006310BD">
      <w:pPr>
        <w:pStyle w:val="Heading2"/>
      </w:pPr>
      <w:bookmarkStart w:id="5" w:name="_Toc64288804"/>
      <w:r>
        <w:lastRenderedPageBreak/>
        <w:t xml:space="preserve">Approach to modelling </w:t>
      </w:r>
      <w:r w:rsidR="000A08BE">
        <w:t>ALRI</w:t>
      </w:r>
      <w:r>
        <w:t xml:space="preserve">: rationale for model structure </w:t>
      </w:r>
      <w:r w:rsidR="0082105D">
        <w:t>&amp;</w:t>
      </w:r>
      <w:r>
        <w:t xml:space="preserve"> choice of parameter values</w:t>
      </w:r>
      <w:bookmarkEnd w:id="5"/>
    </w:p>
    <w:p w14:paraId="34AE7532" w14:textId="76424652" w:rsidR="00991A35" w:rsidRDefault="00991A35" w:rsidP="00991A35">
      <w:pPr>
        <w:pStyle w:val="Heading3"/>
      </w:pPr>
      <w:bookmarkStart w:id="6" w:name="_Toc64288805"/>
      <w:r>
        <w:t>Summary</w:t>
      </w:r>
      <w:bookmarkEnd w:id="6"/>
    </w:p>
    <w:p w14:paraId="40AFC210" w14:textId="0F5BA9D7" w:rsidR="00646460" w:rsidRDefault="00646460" w:rsidP="00646460">
      <w:pPr>
        <w:rPr>
          <w:shd w:val="clear" w:color="auto" w:fill="FFFFFF"/>
        </w:rPr>
      </w:pPr>
      <w:r>
        <w:t xml:space="preserve">Acute lower respiratory infections (ALRI) in children under 5 years of age </w:t>
      </w:r>
      <w:r w:rsidR="006D191A">
        <w:t xml:space="preserve">remains one of the </w:t>
      </w:r>
      <w:r>
        <w:t>leading cause</w:t>
      </w:r>
      <w:r w:rsidR="006D191A">
        <w:t>s</w:t>
      </w:r>
      <w:r>
        <w:t xml:space="preserve"> of childhood morb</w:t>
      </w:r>
      <w:r w:rsidR="006D191A">
        <w:t>idity and mortality</w:t>
      </w:r>
      <w:r w:rsidR="006D191A">
        <w:fldChar w:fldCharType="begin" w:fldLock="1"/>
      </w:r>
      <w:r w:rsidR="00FF6AAC">
        <w:instrText>ADDIN CSL_CITATION {"citationItems":[{"id":"ITEM-1","itemData":{"DOI":"10.1016/S0140-6736(16)31593-8","ISSN":"1474547X","PMID":"27839855","abstract":"Background Despite remarkable progress in the improvement of child survival between 1990 and 2015, the Millennium Development Goal (MDG) 4 target of a two-thirds reduction of under-5 mortality rate (U5MR) was not achieved globally. In this paper, we updated our annual estimates of child mortality by cause to 2000–15 to reflect on progress toward the MDG 4 and consider implications for the Sustainable Development Goals (SDG) target for child survival. Methods We increased the estimation input data for causes of deaths by 43% among neonates and 23% among 1–59-month-olds, respectively. We used adequate vital registration (VR) data where available, and modelled cause-specific mortality fractions applying multinomial logistic regressions using adequate VR for low U5MR countries and verbal autopsy data for high U5MR countries. We updated the estimation to use Plasmodium falciparum parasite rate in place of malaria index in the modelling of malaria deaths; to use adjusted empirical estimates instead of modelled estimates for China; and to consider the effects of pneumococcal conjugate vaccine and rotavirus vaccine in the estimation. Findings In 2015, among the 5·9 million under-5 deaths, 2·7 million occurred in the neonatal period. The leading under-5 causes were preterm birth complications (1·055 million [95% uncertainty range (UR) 0·935–1·179]), pneumonia (0·921 million [0·812 −1·117]), and intrapartum-related events (0·691 million [0·598 −0·778]). In the two MDG regions with the most under-5 deaths, the leading cause was pneumonia in sub-Saharan Africa and preterm birth complications in southern Asia. Reductions in mortality rates for pneumonia, diarrhoea, neonatal intrapartum-related events, malaria, and measles were responsible for 61% of the total reduction of 35 per 1000 livebirths in U5MR in 2000–15. Stratified by U5MR, pneumonia was the leading cause in countries with very high U5MR. Preterm birth complications and pneumonia were both important in high, medium high, and medium child mortality countries; whereas congenital abnormalities was the most important cause in countries with low and very low U5MR. Interpretation In the SDG era, countries are advised to prioritise child survival policy and programmes based on their child cause-of-death composition. Continued and enhanced efforts to scale up proven life-saving interventions are needed to achieve the SDG child survival target. Funding Bill &amp; Melinda Gates Foundation, WHO.","author":[{"dropping-particle":"","family":"Liu","given":"Li","non-dropping-particle":"","parse-names":false,"suffix":""},{"dropping-particle":"","family":"Oza","given":"Shefali","non-dropping-particle":"","parse-names":false,"suffix":""},{"dropping-particle":"","family":"Hogan","given":"Dan","non-dropping-particle":"","parse-names":false,"suffix":""},{"dropping-particle":"","family":"Chu","given":"Yue","non-dropping-particle":"","parse-names":false,"suffix":""},{"dropping-particle":"","family":"Perin","given":"Jamie","non-dropping-particle":"","parse-names":false,"suffix":""},{"dropping-particle":"","family":"Zhu","given":"Jun","non-dropping-particle":"","parse-names":false,"suffix":""},{"dropping-particle":"","family":"Lawn","given":"Joy E.","non-dropping-particle":"","parse-names":false,"suffix":""},{"dropping-particle":"","family":"Cousens","given":"Simon","non-dropping-particle":"","parse-names":false,"suffix":""},{"dropping-particle":"","family":"Mathers","given":"Colin","non-dropping-particle":"","parse-names":false,"suffix":""},{"dropping-particle":"","family":"Black","given":"Robert E.","non-dropping-particle":"","parse-names":false,"suffix":""}],"container-title":"The Lancet","id":"ITEM-1","issue":"10063","issued":{"date-parts":[["2016","12","17"]]},"page":"3027-3035","publisher":"Lancet Publishing Group","title":"Global, regional, and national causes of under-5 mortality in 2000–15: an updated systematic analysis with implications for the Sustainable Development Goals","type":"article-journal","volume":"388"},"uris":["http://www.mendeley.com/documents/?uuid=728b39ca-3835-3b26-950a-bf75eb561345"]}],"mendeley":{"formattedCitation":"&lt;sup&gt;1&lt;/sup&gt;","plainTextFormattedCitation":"1","previouslyFormattedCitation":"&lt;sup&gt;1&lt;/sup&gt;"},"properties":{"noteIndex":0},"schema":"https://github.com/citation-style-language/schema/raw/master/csl-citation.json"}</w:instrText>
      </w:r>
      <w:r w:rsidR="006D191A">
        <w:fldChar w:fldCharType="separate"/>
      </w:r>
      <w:r w:rsidR="006D191A" w:rsidRPr="006D191A">
        <w:rPr>
          <w:noProof/>
          <w:vertAlign w:val="superscript"/>
        </w:rPr>
        <w:t>1</w:t>
      </w:r>
      <w:r w:rsidR="006D191A">
        <w:fldChar w:fldCharType="end"/>
      </w:r>
      <w:r>
        <w:t>, with 90% of this burden being reflected in low-middle income countries</w:t>
      </w:r>
      <w:r>
        <w:fldChar w:fldCharType="begin" w:fldLock="1"/>
      </w:r>
      <w:r w:rsidR="006D191A">
        <w:instrText>ADDIN CSL_CITATION {"citationItems":[{"id":"ITEM-1","itemData":{"author":[{"dropping-particle":"","family":"Wardlaw","given":"Tessa;","non-dropping-particle":"","parse-names":false,"suffix":""},{"dropping-particle":"","family":"Johansson","given":"Emily White;","non-dropping-particle":"","parse-names":false,"suffix":""},{"dropping-particle":"","family":"Hodge","given":"Matthew","non-dropping-particle":"","parse-names":false,"suffix":""}],"id":"ITEM-1","issued":{"date-parts":[["2006"]]},"title":"PNEUMONIA THE FORGOTTEN KILLER OF CHILDREN","type":"report"},"uris":["http://www.mendeley.com/documents/?uuid=9254acd5-ff96-3084-87e3-586e947c74fd"]}],"mendeley":{"formattedCitation":"&lt;sup&gt;2&lt;/sup&gt;","plainTextFormattedCitation":"2","previouslyFormattedCitation":"&lt;sup&gt;2&lt;/sup&gt;"},"properties":{"noteIndex":0},"schema":"https://github.com/citation-style-language/schema/raw/master/csl-citation.json"}</w:instrText>
      </w:r>
      <w:r>
        <w:fldChar w:fldCharType="separate"/>
      </w:r>
      <w:r w:rsidR="006D191A" w:rsidRPr="006D191A">
        <w:rPr>
          <w:noProof/>
          <w:vertAlign w:val="superscript"/>
        </w:rPr>
        <w:t>2</w:t>
      </w:r>
      <w:r>
        <w:fldChar w:fldCharType="end"/>
      </w:r>
      <w:r>
        <w:t xml:space="preserve">. A significant proportion </w:t>
      </w:r>
      <w:r>
        <w:rPr>
          <w:shd w:val="clear" w:color="auto" w:fill="FFFFFF"/>
        </w:rPr>
        <w:t>of the ALRI disease burden is accounted by bronchiolitis and pneumonia, with the latter being the most severe manifestation of ALRI.</w:t>
      </w:r>
    </w:p>
    <w:p w14:paraId="73688F21" w14:textId="371C1553" w:rsidR="00083F3E" w:rsidRPr="00765DF9" w:rsidRDefault="00083F3E" w:rsidP="002954DA">
      <w:pPr>
        <w:rPr>
          <w:shd w:val="clear" w:color="auto" w:fill="FFFFFF"/>
        </w:rPr>
      </w:pPr>
      <w:r>
        <w:t>For the TLO programme, we aim to model the underlying disease conditions of a sick child, who will present for care with signs and symptoms, then based on diagnostic algorithm and diagnostic tests the healthcare system will assign a disease classification and treat accordingly.</w:t>
      </w:r>
      <w:r w:rsidRPr="00711356">
        <w:rPr>
          <w:shd w:val="clear" w:color="auto" w:fill="FFFFFF"/>
        </w:rPr>
        <w:t xml:space="preserve"> </w:t>
      </w:r>
      <w:r w:rsidR="002954DA">
        <w:rPr>
          <w:shd w:val="clear" w:color="auto" w:fill="FFFFFF"/>
        </w:rPr>
        <w:t>This document describes the modelling methods for childhood ALRI, and their interaction with the health systems: assessment, classification and treatment of disease.</w:t>
      </w:r>
      <w:r w:rsidR="002954DA" w:rsidRPr="00F3100B">
        <w:rPr>
          <w:shd w:val="clear" w:color="auto" w:fill="FFFFFF"/>
        </w:rPr>
        <w:t xml:space="preserve"> </w:t>
      </w:r>
    </w:p>
    <w:p w14:paraId="29936867" w14:textId="58B198EA" w:rsidR="0060194F" w:rsidRDefault="00083F3E" w:rsidP="0060194F">
      <w:r>
        <w:t xml:space="preserve">The ALRI module updates the lower respiratory tract disease status every 3 months. It is responsible for assigning new ALRIs to children under 5 years of age, and scheduling health system interactions. </w:t>
      </w:r>
      <w:r w:rsidR="002954DA">
        <w:t>These new ALRI events are differentiated into diseases: viral pneumonia, bacteri</w:t>
      </w:r>
      <w:r w:rsidR="00594333">
        <w:t>al pneumonia and</w:t>
      </w:r>
      <w:r w:rsidR="000A203E">
        <w:t xml:space="preserve"> viral bronchiolitis;</w:t>
      </w:r>
      <w:r w:rsidR="00594333">
        <w:t xml:space="preserve"> updating on </w:t>
      </w:r>
      <w:r w:rsidR="002954DA">
        <w:t xml:space="preserve">the occurrence of complications </w:t>
      </w:r>
      <w:r w:rsidR="00594333">
        <w:t xml:space="preserve">derived from the disease states, </w:t>
      </w:r>
      <w:r w:rsidR="00C37D25">
        <w:t xml:space="preserve">as well as symptoms, </w:t>
      </w:r>
      <w:r w:rsidR="000A203E">
        <w:t>and death or recovery.</w:t>
      </w:r>
      <w:r w:rsidR="00C37D25">
        <w:t xml:space="preserve"> When seeking care at different facility level (community, primary, secondary level), the quality of care (correct disease classification and treatment) is incorporated and consumables are used in the health system interaction event.</w:t>
      </w:r>
    </w:p>
    <w:p w14:paraId="17879976" w14:textId="71515C5F" w:rsidR="00C549E8" w:rsidRDefault="00963BB3" w:rsidP="00C549E8">
      <w:pPr>
        <w:pStyle w:val="Heading3"/>
      </w:pPr>
      <w:bookmarkStart w:id="7" w:name="_Toc64288806"/>
      <w:r>
        <w:t>Case definitions and clinical classification</w:t>
      </w:r>
      <w:bookmarkEnd w:id="7"/>
    </w:p>
    <w:p w14:paraId="5FDD2CC5" w14:textId="2DDC6122" w:rsidR="004D0634" w:rsidRDefault="00FF6AAC" w:rsidP="003173D3">
      <w:pPr>
        <w:spacing w:after="0"/>
      </w:pPr>
      <w:r>
        <w:t>In the medical textbook: “Harrison’s principles of internal medicine”, pneumonia is defined as an infection of the pulmonary parenchyma caused by various organisms</w:t>
      </w:r>
      <w:r w:rsidR="00793878">
        <w:t>. It states that pneumonia is not a single disease entity but a group of specific infections, each with different epidemiology, pathogenesis and clinical course</w:t>
      </w:r>
      <w:r w:rsidR="00793878">
        <w:fldChar w:fldCharType="begin" w:fldLock="1"/>
      </w:r>
      <w:r w:rsidR="004D0AEE">
        <w:instrText>ADDIN CSL_CITATION {"citationItems":[{"id":"ITEM-1","itemData":{"ISBN":"0-07-913686-9","author":[{"dropping-particle":"","family":"Braunwald","given":"Eugene","non-dropping-particle":"","parse-names":false,"suffix":""},{"dropping-particle":"","family":"Fauci","given":"Anthony S","non-dropping-particle":"","parse-names":false,"suffix":""},{"dropping-particle":"","family":"Kasper","given":"Dennis L","non-dropping-particle":"","parse-names":false,"suffix":""},{"dropping-particle":"","family":"Hauser","given":"Stephen L","non-dropping-particle":"","parse-names":false,"suffix":""},{"dropping-particle":"","family":"Longo","given":"Dan L","non-dropping-particle":"","parse-names":false,"suffix":""},{"dropping-particle":"","family":"Jameson","given":"J. Larry","non-dropping-particle":"","parse-names":false,"suffix":""}],"edition":"15th","id":"ITEM-1","issued":{"date-parts":[["2001"]]},"publisher":"McGraw Hill","title":"Harrison's principles of internal medicine","type":"book"},"uris":["http://www.mendeley.com/documents/?uuid=1ea6c82c-d862-347e-8bc9-a350465a9a20"]}],"mendeley":{"formattedCitation":"&lt;sup&gt;3&lt;/sup&gt;","plainTextFormattedCitation":"3","previouslyFormattedCitation":"&lt;sup&gt;3&lt;/sup&gt;"},"properties":{"noteIndex":0},"schema":"https://github.com/citation-style-language/schema/raw/master/csl-citation.json"}</w:instrText>
      </w:r>
      <w:r w:rsidR="00793878">
        <w:fldChar w:fldCharType="separate"/>
      </w:r>
      <w:r w:rsidR="00892D59" w:rsidRPr="00892D59">
        <w:rPr>
          <w:noProof/>
          <w:vertAlign w:val="superscript"/>
        </w:rPr>
        <w:t>3</w:t>
      </w:r>
      <w:r w:rsidR="00793878">
        <w:fldChar w:fldCharType="end"/>
      </w:r>
      <w:r w:rsidR="00793878">
        <w:t>.</w:t>
      </w:r>
      <w:r w:rsidR="006B34DE">
        <w:t xml:space="preserve"> </w:t>
      </w:r>
      <w:r w:rsidR="00DC1686">
        <w:t>To date, t</w:t>
      </w:r>
      <w:r w:rsidR="006B34DE">
        <w:t>here is a lack of clarity in the definition and classification of pneumonia in the field of pneumonia care and research</w:t>
      </w:r>
      <w:r w:rsidR="006B34DE">
        <w:fldChar w:fldCharType="begin" w:fldLock="1"/>
      </w:r>
      <w:r w:rsidR="004D0AEE">
        <w:instrText>ADDIN CSL_CITATION {"citationItems":[{"id":"ITEM-1","itemData":{"DOI":"10.1186/s41479-016-0012-z","ISSN":"2200-6133","abstract":"Following the publication of a volume of Pneumonia focused on diagnosis, the journal’s Editorial Board members debated the definition and classification of pneumonia and came to a consensus on the need to revise both of these. The problem with our current approach to the classification of pneumonia is twofold: (i) it results in widespread empirical, and often unnecessary, use of antimicrobials that contributes to pathogen resistance; and (ii) it contributes to heterogeneity among the groups of subjects compared in research, causing misclassification bias and mixtures of effects that threaten internal validity. After outlining the problem of classification, this commentary describes the strengths and weaknesses of a range of systems for the classification of pneumonia. The commentary then calls for debate to generate consensus classifications in the field, proposing a working definition and way forward focusing on the following three points: (i) pneumonia should be defined as an acute infection of the lung parenchyma by various pathogens, excluding the condition of bronchiolitis; (ii) defining pneumonia as a group of specific (co)infections with different characteristics is an ideal that currently has limited use, because the identification of aetiologic organisms in individuals is often not possible (however, the benefits of classifying pneumonia into specific, more homogenous phenotypes should be carefully considered when designing research studies); and (iii) investigation of more homogenous pneumonia groupings is achievable and is likely to yield more rapid advances in the field.","author":[{"dropping-particle":"","family":"Mackenzie","given":"Grant","non-dropping-particle":"","parse-names":false,"suffix":""}],"container-title":"Pneumonia","id":"ITEM-1","issue":"1","issued":{"date-parts":[["2016","12","22"]]},"page":"14","title":"The definition and classification of pneumonia","type":"article-journal","volume":"8"},"uris":["http://www.mendeley.com/documents/?uuid=153202f9-abef-4612-8a7e-339170aadeab"]}],"mendeley":{"formattedCitation":"&lt;sup&gt;4&lt;/sup&gt;","plainTextFormattedCitation":"4","previouslyFormattedCitation":"&lt;sup&gt;4&lt;/sup&gt;"},"properties":{"noteIndex":0},"schema":"https://github.com/citation-style-language/schema/raw/master/csl-citation.json"}</w:instrText>
      </w:r>
      <w:r w:rsidR="006B34DE">
        <w:fldChar w:fldCharType="separate"/>
      </w:r>
      <w:r w:rsidR="00892D59" w:rsidRPr="00892D59">
        <w:rPr>
          <w:noProof/>
          <w:vertAlign w:val="superscript"/>
        </w:rPr>
        <w:t>4</w:t>
      </w:r>
      <w:r w:rsidR="006B34DE">
        <w:fldChar w:fldCharType="end"/>
      </w:r>
      <w:r w:rsidR="00DC1686">
        <w:t xml:space="preserve">, </w:t>
      </w:r>
      <w:r w:rsidR="00892D59">
        <w:t>as well as the lack of a</w:t>
      </w:r>
      <w:r w:rsidR="003173D3">
        <w:t xml:space="preserve"> safe and </w:t>
      </w:r>
      <w:r w:rsidR="004D0AEE">
        <w:t>effective ‘gold-standard’</w:t>
      </w:r>
      <w:r w:rsidR="004D0AEE">
        <w:fldChar w:fldCharType="begin" w:fldLock="1"/>
      </w:r>
      <w:r w:rsidR="004D0AEE">
        <w:instrText>ADDIN CSL_CITATION {"citationItems":[{"id":"ITEM-1","itemData":{"DOI":"10.1093/cid/cix143","abstract":"Pneumonia kills more children each year worldwide than any other disease. Nonetheless, accurately determining the causes of childhood pneumonia has remained elusive. Over the past century, the focus of pneumonia etiology research has shifted from studies of lung aspirates and postmortem specimens intent on identifying pneumococcal disease to studies of multiple specimen types distant from the lung that are tested for multiple pathogens. Some major challenges facing modern pneumonia etiology studies include the use of nonspecific and variable case definitions, poor access to pathologic lung tissue and to specimens from fatal cases, poor diagnostic accuracy of assays (especially when testing nonpulmonary specimens), and the interpretation of results when multiple pathogens are detected in a given individual. The future of childhood pneumonia etiology research will likely require integrating data from complementary approaches, including applications of advanced molecular diagnostics and vaccine probe studies, as well as a renewed emphasis on lung aspirates from radiologically confirmed pneumonia and postmortem examinations. Keywords. pneumonia; etiology; causation; acute lower respiratory tract infections. Over the past century, findings of pneumonia etiology studies in children have swung from detection of only bacteria to a preponderance of viruses. This apparent change in the microbial etiology of pneumonia is attributable, perhaps, as much to changes in study design and methodology as to true changes in etiology. The same can be said when comparing the results across recent pneumonia etiology studies. Interpretation and comparison of results from studies that use different case definitions , study designs, specimen collection approaches, and diagnostic tests require recognition of the biases inherent in each approach. Yet, the challenges of determining pneumonia etiology extend beyond controlling for bias. The syndrome of pneumonia is inherently challenging to define and diagnose, and its pathogenesis is complex. In this article, we explore the challenges of determining the microbial etiology of pneumonia, starting with a brief history of pneumonia etiology studies, with particular emphasis on the challenges faced by each era of research. We then enumerate the principal enduring challenges, demonstrating how each challenge can influence results. Finally, we comment on approaches for future research that could resolve the challenges. HISTORY OF PNEUMONI…","author":[{"dropping-particle":"","family":"Feikin","given":"Daniel R","non-dropping-particle":"","parse-names":false,"suffix":""},{"dropping-particle":"","family":"Hammitt","given":"Laura L","non-dropping-particle":"","parse-names":false,"suffix":""},{"dropping-particle":"","family":"Murdoch","given":"David R","non-dropping-particle":"","parse-names":false,"suffix":""},{"dropping-particle":"","family":"O'brien","given":"Katherine L","non-dropping-particle":"","parse-names":false,"suffix":""},{"dropping-particle":"","family":"Anthony","given":"J","non-dropping-particle":"","parse-names":false,"suffix":""},{"dropping-particle":"","family":"Scott","given":"G","non-dropping-particle":"","parse-names":false,"suffix":""}],"container-title":"Clinical Infectious Diseases","id":"ITEM-1","issued":{"date-parts":[["2017"]]},"title":"The Enduring Challenge of Determining Pneumonia Etiology in Children: Considerations for Future Research Priorities","type":"article-journal"},"uris":["http://www.mendeley.com/documents/?uuid=e69398a1-70bb-3f80-901b-f8b6b2e7fa8d"]}],"mendeley":{"formattedCitation":"&lt;sup&gt;5&lt;/sup&gt;","plainTextFormattedCitation":"5","previouslyFormattedCitation":"&lt;sup&gt;5&lt;/sup&gt;"},"properties":{"noteIndex":0},"schema":"https://github.com/citation-style-language/schema/raw/master/csl-citation.json"}</w:instrText>
      </w:r>
      <w:r w:rsidR="004D0AEE">
        <w:fldChar w:fldCharType="separate"/>
      </w:r>
      <w:r w:rsidR="004D0AEE" w:rsidRPr="008F19C8">
        <w:rPr>
          <w:noProof/>
          <w:vertAlign w:val="superscript"/>
        </w:rPr>
        <w:t>5</w:t>
      </w:r>
      <w:r w:rsidR="004D0AEE">
        <w:fldChar w:fldCharType="end"/>
      </w:r>
      <w:r w:rsidR="004D0AEE">
        <w:t xml:space="preserve"> t</w:t>
      </w:r>
      <w:r w:rsidR="003173D3">
        <w:t xml:space="preserve">o </w:t>
      </w:r>
      <w:r w:rsidR="006B34DE">
        <w:t>identify the causative organisms</w:t>
      </w:r>
      <w:r w:rsidR="00DC1686">
        <w:t>,</w:t>
      </w:r>
      <w:r w:rsidR="003173D3">
        <w:t xml:space="preserve"> further limiting an accurate diagnosis. </w:t>
      </w:r>
    </w:p>
    <w:p w14:paraId="7B36604D" w14:textId="71D8C380" w:rsidR="00077601" w:rsidRDefault="0025448C" w:rsidP="00F76D3E">
      <w:r>
        <w:t>Guidelines for the management of community-acquired pneumonia in both high-income countries and low- and middle-income countries focus the initial diagnosis on</w:t>
      </w:r>
      <w:r w:rsidR="00CC61B9">
        <w:t xml:space="preserve"> the</w:t>
      </w:r>
      <w:r>
        <w:t xml:space="preserve"> clinical assessment</w:t>
      </w:r>
      <w:r w:rsidR="008C02B1">
        <w:fldChar w:fldCharType="begin" w:fldLock="1"/>
      </w:r>
      <w:r w:rsidR="008C02B1">
        <w:instrText>ADDIN CSL_CITATION {"citationItems":[{"id":"ITEM-1","itemData":{"DOI":"10.1111/apa.12501","ISSN":"08035253","PMID":"24330268","abstract":"Aim: The goal of this study was to compare the current guidelines on diagnosis and treatment of paediatric community-acquired pneumonia (CAP) in developing and developed countries. Methods: A literature search was performed consulting the Medline, Embase, Current Contents, National Guideline Clearinghouse and Cochrane database, from January 2000 to March 2013. Results: Twelve guidelines were selected: six from developed countries and six from developing countries. Major discrepancies between the diagnosis and treatment approaches recommended by guidelines covering developing and developed countries were revealed. The search also highlighted differences between recommendations issued in similar settings. Conclusion: The guidelines show wide variations and weak recommendations and further research is needed to improve clinical outcomes and make better use of resources. © 2013 Foundation Acta Paediatrica.","author":[{"dropping-particle":"","family":"Berti","given":"Elettra","non-dropping-particle":"","parse-names":false,"suffix":""},{"dropping-particle":"","family":"Galli","given":"Luisa","non-dropping-particle":"","parse-names":false,"suffix":""},{"dropping-particle":"","family":"Martino","given":"Maurizio","non-dropping-particle":"De","parse-names":false,"suffix":""},{"dropping-particle":"","family":"Chiappini","given":"Elena","non-dropping-particle":"","parse-names":false,"suffix":""}],"container-title":"Acta Paediatrica, International Journal of Paediatrics","id":"ITEM-1","issue":"SUPPL.465","issued":{"date-parts":[["2013","12"]]},"page":"4-16","publisher":"Acta Paediatr","title":"International guidelines on tackling community-acquired pneumonia show major discrepancies between developed and developing countries","type":"article-journal","volume":"102"},"uris":["http://www.mendeley.com/documents/?uuid=9f636b10-0732-3f50-8480-0cf613d51b7a"]}],"mendeley":{"formattedCitation":"&lt;sup&gt;6&lt;/sup&gt;","plainTextFormattedCitation":"6"},"properties":{"noteIndex":0},"schema":"https://github.com/citation-style-language/schema/raw/master/csl-citation.json"}</w:instrText>
      </w:r>
      <w:r w:rsidR="008C02B1">
        <w:fldChar w:fldCharType="separate"/>
      </w:r>
      <w:r w:rsidR="008C02B1" w:rsidRPr="008C02B1">
        <w:rPr>
          <w:noProof/>
          <w:vertAlign w:val="superscript"/>
        </w:rPr>
        <w:t>6</w:t>
      </w:r>
      <w:r w:rsidR="008C02B1">
        <w:fldChar w:fldCharType="end"/>
      </w:r>
      <w:r>
        <w:t xml:space="preserve">. </w:t>
      </w:r>
      <w:r w:rsidR="00CC61B9">
        <w:t>This is a major step in determining the severity of the disease and consequently to decide on what care should be provided. Though there are a range of severity scores</w:t>
      </w:r>
      <w:r w:rsidR="00F76D3E">
        <w:t xml:space="preserve"> described for adults</w:t>
      </w:r>
      <w:r w:rsidR="00F76D3E">
        <w:fldChar w:fldCharType="begin" w:fldLock="1"/>
      </w:r>
      <w:r w:rsidR="008C02B1">
        <w:instrText>ADDIN CSL_CITATION {"citationItems":[{"id":"ITEM-1","itemData":{"DOI":"10.15172/pneu.2014.5/481","ISSN":"2200-6133","abstract":"Pneumonia severity scores in resource poor settings","author":[{"dropping-particle":"","family":"Rylance","given":"Jamie","non-dropping-particle":"","parse-names":false,"suffix":""},{"dropping-particle":"","family":"Waitt","given":"Peter","non-dropping-particle":"","parse-names":false,"suffix":""}],"container-title":"Pneumonia","id":"ITEM-1","issue":"S1","issued":{"date-parts":[["2014","12","22"]]},"page":"30-37","publisher":"Springer Science and Business Media LLC","title":"Pneumonia severity scores in resource poor settings","type":"article-journal","volume":"5"},"uris":["http://www.mendeley.com/documents/?uuid=3a30803c-d1ac-3744-82a0-a16b861fd2f2"]}],"mendeley":{"formattedCitation":"&lt;sup&gt;7&lt;/sup&gt;","plainTextFormattedCitation":"7","previouslyFormattedCitation":"&lt;sup&gt;6&lt;/sup&gt;"},"properties":{"noteIndex":0},"schema":"https://github.com/citation-style-language/schema/raw/master/csl-citation.json"}</w:instrText>
      </w:r>
      <w:r w:rsidR="00F76D3E">
        <w:fldChar w:fldCharType="separate"/>
      </w:r>
      <w:r w:rsidR="008C02B1" w:rsidRPr="008C02B1">
        <w:rPr>
          <w:noProof/>
          <w:vertAlign w:val="superscript"/>
        </w:rPr>
        <w:t>7</w:t>
      </w:r>
      <w:r w:rsidR="00F76D3E">
        <w:fldChar w:fldCharType="end"/>
      </w:r>
      <w:r w:rsidR="00CC61B9">
        <w:t xml:space="preserve">, no score systems have been validated for young children. </w:t>
      </w:r>
      <w:r w:rsidR="00F76D3E">
        <w:t xml:space="preserve">Many low- and lower-middle-income countries have adapted the WHO recommendations for assessing the severity of childhood pneumonia. </w:t>
      </w:r>
    </w:p>
    <w:p w14:paraId="624001BB" w14:textId="61ED1E76" w:rsidR="00A87C5C" w:rsidRDefault="008C0F39" w:rsidP="003173D3">
      <w:pPr>
        <w:spacing w:after="0"/>
      </w:pPr>
      <w:r>
        <w:t>WHO</w:t>
      </w:r>
      <w:r w:rsidR="00D6376F">
        <w:rPr>
          <w:color w:val="000000"/>
          <w:shd w:val="clear" w:color="auto" w:fill="FFFFFF"/>
        </w:rPr>
        <w:t xml:space="preserve"> has placed standardized guidelines </w:t>
      </w:r>
      <w:r w:rsidR="000C2077">
        <w:rPr>
          <w:color w:val="000000"/>
          <w:shd w:val="clear" w:color="auto" w:fill="FFFFFF"/>
        </w:rPr>
        <w:t xml:space="preserve">into the global Integrated Management of Childhood Illness (IMCI) programme, </w:t>
      </w:r>
      <w:r w:rsidR="00D6376F">
        <w:rPr>
          <w:color w:val="000000"/>
          <w:shd w:val="clear" w:color="auto" w:fill="FFFFFF"/>
        </w:rPr>
        <w:t>to facilitate clinical decision making</w:t>
      </w:r>
      <w:r w:rsidR="000C2077">
        <w:rPr>
          <w:color w:val="000000"/>
          <w:shd w:val="clear" w:color="auto" w:fill="FFFFFF"/>
        </w:rPr>
        <w:t xml:space="preserve"> by first level health workers</w:t>
      </w:r>
      <w:r w:rsidR="00D6376F">
        <w:rPr>
          <w:color w:val="000000"/>
          <w:shd w:val="clear" w:color="auto" w:fill="FFFFFF"/>
        </w:rPr>
        <w:t xml:space="preserve"> in managing children presenting with acute respiratory symptoms. </w:t>
      </w:r>
      <w:r w:rsidR="000C2077">
        <w:t xml:space="preserve">A suspected case of pneumonia is determined by its clinical symptoms (Table 1). </w:t>
      </w:r>
      <w:r w:rsidR="0082105D">
        <w:rPr>
          <w:shd w:val="clear" w:color="auto" w:fill="FFFFFF"/>
        </w:rPr>
        <w:t>Th</w:t>
      </w:r>
      <w:r w:rsidR="00552659">
        <w:rPr>
          <w:shd w:val="clear" w:color="auto" w:fill="FFFFFF"/>
        </w:rPr>
        <w:t>e</w:t>
      </w:r>
      <w:r w:rsidR="0082105D">
        <w:rPr>
          <w:shd w:val="clear" w:color="auto" w:fill="FFFFFF"/>
        </w:rPr>
        <w:t xml:space="preserve"> WHO’s clinical definition of childhood pneumonia is</w:t>
      </w:r>
      <w:r w:rsidR="00D6376F">
        <w:rPr>
          <w:shd w:val="clear" w:color="auto" w:fill="FFFFFF"/>
        </w:rPr>
        <w:t xml:space="preserve"> also </w:t>
      </w:r>
      <w:r w:rsidR="0082105D">
        <w:rPr>
          <w:shd w:val="clear" w:color="auto" w:fill="FFFFFF"/>
        </w:rPr>
        <w:t>the most frequently used in field studies and in the</w:t>
      </w:r>
      <w:r w:rsidR="0082105D">
        <w:rPr>
          <w:color w:val="000000"/>
          <w:shd w:val="clear" w:color="auto" w:fill="FFFFFF"/>
        </w:rPr>
        <w:t xml:space="preserve"> estimation of the global burden of childhood pneumonia</w:t>
      </w:r>
      <w:r w:rsidR="0082105D">
        <w:rPr>
          <w:color w:val="000000"/>
          <w:shd w:val="clear" w:color="auto" w:fill="FFFFFF"/>
        </w:rPr>
        <w:fldChar w:fldCharType="begin" w:fldLock="1"/>
      </w:r>
      <w:r w:rsidR="008C02B1">
        <w:rPr>
          <w:color w:val="000000"/>
          <w:shd w:val="clear" w:color="auto" w:fill="FFFFFF"/>
        </w:rPr>
        <w:instrText>ADDIN CSL_CITATION {"citationItems":[{"id":"ITEM-1","itemData":{"DOI":"/S0042-96862004001200005","ISSN":"00429686","PMID":"15654403","abstract":"Objective: Clinical pneumonia (defined as respiratory infections associated with clinical signs of pneumonia, principally pneumonia and bronchiolitis) in children under five years of age is still the leading cause of childhood mortality in the world. In this paper we aim to estimate the worldwide incidence of clinical pneumonia in young children. Methods: Our estimate for the developing world is based on an analysis of published data on the incidence of clinical pneumonia from community-based longitudinal studies. Among more than 2000 studies published since 1961, we identified 46 studies that reported the incidence of clinical pneumonia, and 28 of these met pre-defined quality criteria. Findings: The estimate of the median incidence from those studies was 0.28 episodes per child-year (e/cy). The 25-75% interquartile range was 0.21-0.71. We assessed the plausibility of this estimate using estimates of global mortality from acute respiratory infections and reported case-fatality rates for all episodes of clinical pneumonia reported in community-based studies or the case-fatality rate reported only for severe cases and estimates of the proportion of severe cases occurring in a defined population or community. Conclusion: The overlap between the ranges of the estimates implies that a plausible incidence estimate of clinical pneumonia for developing countries is 0.29 e/cy. This equates to an annual incidence of 150.7 million new cases, 11-20 million (7-13%) of which are severe enough to require hospital admission. In the developed world no comparable data are available. However, large population-based studies report that the incidence of community-acquired pneumonia among children less than five years old is approximately 0.026 e/cy, suggesting that more than 95% of all episodes of clinical pneumonia in young children worldwide occur in developing countries.","author":[{"dropping-particle":"","family":"Rudan","given":"Igor","non-dropping-particle":"","parse-names":false,"suffix":""},{"dropping-particle":"","family":"Tomaskovic","given":"Lana","non-dropping-particle":"","parse-names":false,"suffix":""},{"dropping-particle":"","family":"Boschi-Pinto","given":"Cynthia","non-dropping-particle":"","parse-names":false,"suffix":""},{"dropping-particle":"","family":"Campbell","given":"Harry","non-dropping-particle":"","parse-names":false,"suffix":""}],"container-title":"Bulletin of the World Health Organization","id":"ITEM-1","issue":"12","issued":{"date-parts":[["2004","12"]]},"page":"895-903","title":"Global estimate of the incidence of clinical pneumonia among children under five years of age","type":"article-journal","volume":"82"},"uris":["http://www.mendeley.com/documents/?uuid=47d7a00c-5207-3a00-bf38-f9b4744be66d"]}],"mendeley":{"formattedCitation":"&lt;sup&gt;8&lt;/sup&gt;","plainTextFormattedCitation":"8","previouslyFormattedCitation":"&lt;sup&gt;7&lt;/sup&gt;"},"properties":{"noteIndex":0},"schema":"https://github.com/citation-style-language/schema/raw/master/csl-citation.json"}</w:instrText>
      </w:r>
      <w:r w:rsidR="0082105D">
        <w:rPr>
          <w:color w:val="000000"/>
          <w:shd w:val="clear" w:color="auto" w:fill="FFFFFF"/>
        </w:rPr>
        <w:fldChar w:fldCharType="separate"/>
      </w:r>
      <w:r w:rsidR="008C02B1" w:rsidRPr="008C02B1">
        <w:rPr>
          <w:noProof/>
          <w:color w:val="000000"/>
          <w:shd w:val="clear" w:color="auto" w:fill="FFFFFF"/>
          <w:vertAlign w:val="superscript"/>
        </w:rPr>
        <w:t>8</w:t>
      </w:r>
      <w:r w:rsidR="0082105D">
        <w:rPr>
          <w:color w:val="000000"/>
          <w:shd w:val="clear" w:color="auto" w:fill="FFFFFF"/>
        </w:rPr>
        <w:fldChar w:fldCharType="end"/>
      </w:r>
      <w:r w:rsidR="0082105D">
        <w:rPr>
          <w:color w:val="000000"/>
          <w:shd w:val="clear" w:color="auto" w:fill="FFFFFF"/>
        </w:rPr>
        <w:t>.</w:t>
      </w:r>
      <w:r w:rsidR="0082105D">
        <w:t xml:space="preserve"> </w:t>
      </w:r>
      <w:r w:rsidR="00552659">
        <w:t xml:space="preserve">However, this definition </w:t>
      </w:r>
      <w:r w:rsidR="0009442C">
        <w:t>has low specificity and includes bacterial and viral pneumonia, viral bronchiolitis, bacterial and viral bronchitis</w:t>
      </w:r>
      <w:r w:rsidR="0009442C">
        <w:fldChar w:fldCharType="begin" w:fldLock="1"/>
      </w:r>
      <w:r w:rsidR="008C02B1">
        <w:instrText>ADDIN CSL_CITATION {"citationItems":[{"id":"ITEM-1","itemData":{"DOI":"10.1016/S0140-6736(19)31512-0","ISSN":"1474547X","abstract":"Identifying the causes of acute lower respiratory infections is challenging in most clinical settings, especially so in hospitals in low-income and middle-income countries where bacteriology and other diagnostic services are scarce. The diseases encompassed within WHO's clinical definition of pneumonia include bacterial and viral pneumonia, acute viral bronchiolitis, and bacterial and viral bronchitis. These conditions can coexist and duel pathogens are common, especially in severely unwell children in low-resource settings. The origin of many cases of bacterial pneumonia in children is an acute viral infection followed by mucosal invasion or drip aspiration of nasopharyngeal (NP) bacteria. In some settings, bacteria colonise the nasopharynx of more than 95% of infants in the first 2 months of life, whereas in other populations, this number is about 30% by age 1-5 years; therefore, the risk of bacterial pneumonia accompanying a viral upper respiratory tract infection varies greatly. 1-3 In The Lancet, the Pneumonia Etiology Research for Child Health (PERCH) Study Group report the findings of the PERCH study, 4 an impressive attempt at understanding the diverse causes of acute lower respiratory infections in the pneumococcal conjugate vaccine (PCV) era. The group enrolled 4232 children aged 1-59 months admitted to hospital with what WHO previously classified as severe or very severe pneumonia, with the primary analysis population comprised of 1769 children without HIV infection and with a positive chest x-ray in seven countries over 2 years. PERCH found that ten pathogens accounted for almost 80% of WHO-defined pneumonia in the cases studied. The top ten list of pathogens varied between sites, but the universal causes included respiratory syncytial virus (RSV), Streptococcus pneumoniae, parainfluenza virus, Haemophilus influenzae, human metapneumovirus, and Mycobacterium tuberculosis. PERCH enlarges our understanding of the causes of acute lower respiratory infections but might be criticised for not identifying enough pneumococcal infections. The prevalence of S pneumoniae was estimated to be 4·6% (95% CI 3·2-6·2) for severe and 9·7% (6·9-13·1) for very severe pneumonia in the seven countries of the study, and the prevalence (for both severe and very severe pneumonia) varied widely between countries: 15·1% in The Gambia and 17·4% in Mali, and as low as 0·3% in Thailand. Although some countries had moderate to high PCV coverage (70-90% of the populations …","author":[{"dropping-particle":"","family":"Duke","given":"Trevor","non-dropping-particle":"","parse-names":false,"suffix":""}],"container-title":"The Lancet","id":"ITEM-1","issue":"10200","issued":{"date-parts":[["2019","8","31"]]},"page":"714-716","publisher":"Lancet Publishing Group","title":"What the PERCH study means for future pneumonia strategies","type":"article","volume":"394"},"uris":["http://www.mendeley.com/documents/?uuid=e1ab2f86-be09-38fc-a5f9-9afdefdfdc40"]}],"mendeley":{"formattedCitation":"&lt;sup&gt;9&lt;/sup&gt;","plainTextFormattedCitation":"9","previouslyFormattedCitation":"&lt;sup&gt;8&lt;/sup&gt;"},"properties":{"noteIndex":0},"schema":"https://github.com/citation-style-language/schema/raw/master/csl-citation.json"}</w:instrText>
      </w:r>
      <w:r w:rsidR="0009442C">
        <w:fldChar w:fldCharType="separate"/>
      </w:r>
      <w:r w:rsidR="008C02B1" w:rsidRPr="008C02B1">
        <w:rPr>
          <w:noProof/>
          <w:vertAlign w:val="superscript"/>
        </w:rPr>
        <w:t>9</w:t>
      </w:r>
      <w:r w:rsidR="0009442C">
        <w:fldChar w:fldCharType="end"/>
      </w:r>
      <w:r w:rsidR="0009442C">
        <w:t xml:space="preserve"> – conditions that can co-exist.</w:t>
      </w:r>
      <w:r w:rsidR="000C2077" w:rsidRPr="000C2077">
        <w:t xml:space="preserve"> </w:t>
      </w:r>
      <w:r w:rsidR="003173D3">
        <w:t xml:space="preserve">Empiric antibiotic therapy is high, particularly in low-resource settings. </w:t>
      </w:r>
    </w:p>
    <w:p w14:paraId="5C0A4443" w14:textId="0BABF56C" w:rsidR="00A87C5C" w:rsidRDefault="00A87C5C" w:rsidP="003D6D22">
      <w:pPr>
        <w:pStyle w:val="Caption"/>
        <w:keepNext/>
        <w:jc w:val="left"/>
      </w:pPr>
      <w:r>
        <w:t xml:space="preserve">Table </w:t>
      </w:r>
      <w:r w:rsidR="00E018E1">
        <w:fldChar w:fldCharType="begin"/>
      </w:r>
      <w:r w:rsidR="00E018E1">
        <w:instrText xml:space="preserve"> SEQ Table \* ARABIC </w:instrText>
      </w:r>
      <w:r w:rsidR="00E018E1">
        <w:fldChar w:fldCharType="separate"/>
      </w:r>
      <w:r w:rsidR="000979B2">
        <w:rPr>
          <w:noProof/>
        </w:rPr>
        <w:t>1</w:t>
      </w:r>
      <w:r w:rsidR="00E018E1">
        <w:rPr>
          <w:noProof/>
        </w:rPr>
        <w:fldChar w:fldCharType="end"/>
      </w:r>
      <w:r>
        <w:t xml:space="preserve"> - </w:t>
      </w:r>
      <w:r w:rsidRPr="008E2EC1">
        <w:t>Classification of clinical pneumonia by WHO original (2005) and revised guidelines (2014) for children aged 2-59 months</w:t>
      </w:r>
    </w:p>
    <w:tbl>
      <w:tblPr>
        <w:tblW w:w="10120" w:type="dxa"/>
        <w:tblLook w:val="04A0" w:firstRow="1" w:lastRow="0" w:firstColumn="1" w:lastColumn="0" w:noHBand="0" w:noVBand="1"/>
      </w:tblPr>
      <w:tblGrid>
        <w:gridCol w:w="1500"/>
        <w:gridCol w:w="3560"/>
        <w:gridCol w:w="1500"/>
        <w:gridCol w:w="3560"/>
      </w:tblGrid>
      <w:tr w:rsidR="00A87C5C" w:rsidRPr="00A87C5C" w14:paraId="70ACE904" w14:textId="77777777" w:rsidTr="00A87C5C">
        <w:trPr>
          <w:trHeight w:val="300"/>
        </w:trPr>
        <w:tc>
          <w:tcPr>
            <w:tcW w:w="5060" w:type="dxa"/>
            <w:gridSpan w:val="2"/>
            <w:tcBorders>
              <w:top w:val="single" w:sz="8" w:space="0" w:color="auto"/>
              <w:left w:val="single" w:sz="8" w:space="0" w:color="auto"/>
              <w:bottom w:val="single" w:sz="8" w:space="0" w:color="auto"/>
              <w:right w:val="single" w:sz="8" w:space="0" w:color="000000"/>
            </w:tcBorders>
            <w:shd w:val="clear" w:color="000000" w:fill="A9D08E"/>
            <w:noWrap/>
            <w:vAlign w:val="bottom"/>
            <w:hideMark/>
          </w:tcPr>
          <w:p w14:paraId="0B23117D" w14:textId="77777777" w:rsidR="00A87C5C" w:rsidRPr="00A87C5C" w:rsidRDefault="00A87C5C" w:rsidP="00A87C5C">
            <w:pPr>
              <w:spacing w:after="0" w:line="240" w:lineRule="auto"/>
              <w:ind w:firstLine="0"/>
              <w:contextualSpacing w:val="0"/>
              <w:jc w:val="center"/>
              <w:rPr>
                <w:rFonts w:ascii="Calibri" w:eastAsia="Times New Roman" w:hAnsi="Calibri" w:cs="Calibri"/>
                <w:b/>
                <w:bCs/>
                <w:color w:val="000000"/>
                <w:lang w:eastAsia="en-GB"/>
              </w:rPr>
            </w:pPr>
            <w:r w:rsidRPr="00A87C5C">
              <w:rPr>
                <w:rFonts w:ascii="Calibri" w:eastAsia="Times New Roman" w:hAnsi="Calibri" w:cs="Calibri"/>
                <w:b/>
                <w:bCs/>
                <w:color w:val="000000"/>
                <w:lang w:eastAsia="en-GB"/>
              </w:rPr>
              <w:t>Original guidelines 2005</w:t>
            </w:r>
          </w:p>
        </w:tc>
        <w:tc>
          <w:tcPr>
            <w:tcW w:w="5060" w:type="dxa"/>
            <w:gridSpan w:val="2"/>
            <w:tcBorders>
              <w:top w:val="single" w:sz="8" w:space="0" w:color="auto"/>
              <w:left w:val="nil"/>
              <w:bottom w:val="single" w:sz="8" w:space="0" w:color="auto"/>
              <w:right w:val="single" w:sz="8" w:space="0" w:color="000000"/>
            </w:tcBorders>
            <w:shd w:val="clear" w:color="000000" w:fill="A9D08E"/>
            <w:noWrap/>
            <w:vAlign w:val="bottom"/>
            <w:hideMark/>
          </w:tcPr>
          <w:p w14:paraId="5B6299A3" w14:textId="1435049A" w:rsidR="00A87C5C" w:rsidRPr="00A87C5C" w:rsidRDefault="00A87C5C" w:rsidP="00A87C5C">
            <w:pPr>
              <w:spacing w:after="0" w:line="240" w:lineRule="auto"/>
              <w:ind w:firstLine="0"/>
              <w:contextualSpacing w:val="0"/>
              <w:jc w:val="center"/>
              <w:rPr>
                <w:rFonts w:ascii="Calibri" w:eastAsia="Times New Roman" w:hAnsi="Calibri" w:cs="Calibri"/>
                <w:b/>
                <w:bCs/>
                <w:color w:val="000000"/>
                <w:lang w:eastAsia="en-GB"/>
              </w:rPr>
            </w:pPr>
            <w:r w:rsidRPr="00A87C5C">
              <w:rPr>
                <w:rFonts w:ascii="Calibri" w:eastAsia="Times New Roman" w:hAnsi="Calibri" w:cs="Calibri"/>
                <w:b/>
                <w:bCs/>
                <w:color w:val="000000"/>
                <w:lang w:eastAsia="en-GB"/>
              </w:rPr>
              <w:t>Revised guidelines 2</w:t>
            </w:r>
            <w:r w:rsidR="00080784">
              <w:rPr>
                <w:rFonts w:ascii="Calibri" w:eastAsia="Times New Roman" w:hAnsi="Calibri" w:cs="Calibri"/>
                <w:b/>
                <w:bCs/>
                <w:color w:val="000000"/>
                <w:lang w:eastAsia="en-GB"/>
              </w:rPr>
              <w:t>014</w:t>
            </w:r>
          </w:p>
        </w:tc>
      </w:tr>
      <w:tr w:rsidR="00A87C5C" w:rsidRPr="00A87C5C" w14:paraId="2EE97CFC" w14:textId="77777777" w:rsidTr="00A87C5C">
        <w:trPr>
          <w:trHeight w:val="300"/>
        </w:trPr>
        <w:tc>
          <w:tcPr>
            <w:tcW w:w="1500" w:type="dxa"/>
            <w:tcBorders>
              <w:top w:val="nil"/>
              <w:left w:val="single" w:sz="8" w:space="0" w:color="auto"/>
              <w:bottom w:val="nil"/>
              <w:right w:val="nil"/>
            </w:tcBorders>
            <w:shd w:val="clear" w:color="000000" w:fill="BDD7EE"/>
            <w:vAlign w:val="center"/>
            <w:hideMark/>
          </w:tcPr>
          <w:p w14:paraId="34742063"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t>Severity</w:t>
            </w:r>
          </w:p>
        </w:tc>
        <w:tc>
          <w:tcPr>
            <w:tcW w:w="3560" w:type="dxa"/>
            <w:tcBorders>
              <w:top w:val="single" w:sz="4" w:space="0" w:color="auto"/>
              <w:left w:val="single" w:sz="8" w:space="0" w:color="auto"/>
              <w:bottom w:val="nil"/>
              <w:right w:val="single" w:sz="8" w:space="0" w:color="auto"/>
            </w:tcBorders>
            <w:shd w:val="clear" w:color="000000" w:fill="E7E6E6"/>
            <w:noWrap/>
            <w:vAlign w:val="center"/>
            <w:hideMark/>
          </w:tcPr>
          <w:p w14:paraId="660B3906"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t>Signs and symptoms</w:t>
            </w:r>
          </w:p>
        </w:tc>
        <w:tc>
          <w:tcPr>
            <w:tcW w:w="1500" w:type="dxa"/>
            <w:tcBorders>
              <w:top w:val="nil"/>
              <w:left w:val="nil"/>
              <w:bottom w:val="nil"/>
              <w:right w:val="nil"/>
            </w:tcBorders>
            <w:shd w:val="clear" w:color="000000" w:fill="BDD7EE"/>
            <w:vAlign w:val="center"/>
            <w:hideMark/>
          </w:tcPr>
          <w:p w14:paraId="57978AD2"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t>Severity</w:t>
            </w:r>
          </w:p>
        </w:tc>
        <w:tc>
          <w:tcPr>
            <w:tcW w:w="3560" w:type="dxa"/>
            <w:tcBorders>
              <w:top w:val="single" w:sz="4" w:space="0" w:color="auto"/>
              <w:left w:val="single" w:sz="8" w:space="0" w:color="auto"/>
              <w:bottom w:val="nil"/>
              <w:right w:val="single" w:sz="8" w:space="0" w:color="auto"/>
            </w:tcBorders>
            <w:shd w:val="clear" w:color="000000" w:fill="E7E6E6"/>
            <w:noWrap/>
            <w:vAlign w:val="center"/>
            <w:hideMark/>
          </w:tcPr>
          <w:p w14:paraId="6BB58CDA"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t>Signs and symptoms</w:t>
            </w:r>
          </w:p>
        </w:tc>
      </w:tr>
      <w:tr w:rsidR="00A87C5C" w:rsidRPr="00A87C5C" w14:paraId="68CAE270" w14:textId="77777777" w:rsidTr="00A87C5C">
        <w:trPr>
          <w:trHeight w:val="290"/>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14:paraId="4E6C97B4"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t>(non-severe) pneumonia</w:t>
            </w:r>
          </w:p>
        </w:tc>
        <w:tc>
          <w:tcPr>
            <w:tcW w:w="3560" w:type="dxa"/>
            <w:tcBorders>
              <w:top w:val="single" w:sz="8" w:space="0" w:color="auto"/>
              <w:left w:val="nil"/>
              <w:bottom w:val="single" w:sz="4" w:space="0" w:color="auto"/>
              <w:right w:val="single" w:sz="8" w:space="0" w:color="auto"/>
            </w:tcBorders>
            <w:shd w:val="clear" w:color="auto" w:fill="auto"/>
            <w:noWrap/>
            <w:vAlign w:val="center"/>
            <w:hideMark/>
          </w:tcPr>
          <w:p w14:paraId="3704AB29" w14:textId="77777777" w:rsidR="00A87C5C" w:rsidRPr="00A87C5C" w:rsidRDefault="00A87C5C" w:rsidP="00A87C5C">
            <w:pPr>
              <w:spacing w:after="0" w:line="240" w:lineRule="auto"/>
              <w:ind w:firstLine="0"/>
              <w:contextualSpacing w:val="0"/>
              <w:jc w:val="left"/>
              <w:rPr>
                <w:rFonts w:ascii="Calibri" w:eastAsia="Times New Roman" w:hAnsi="Calibri" w:cs="Calibri"/>
                <w:color w:val="000000"/>
                <w:sz w:val="21"/>
                <w:szCs w:val="21"/>
                <w:lang w:eastAsia="en-GB"/>
              </w:rPr>
            </w:pPr>
            <w:r w:rsidRPr="00A87C5C">
              <w:rPr>
                <w:rFonts w:ascii="Calibri" w:eastAsia="Times New Roman" w:hAnsi="Calibri" w:cs="Calibri"/>
                <w:color w:val="000000"/>
                <w:sz w:val="21"/>
                <w:szCs w:val="21"/>
                <w:lang w:eastAsia="en-GB"/>
              </w:rPr>
              <w:t>Cough and/or difficult breathing, and</w:t>
            </w:r>
          </w:p>
        </w:tc>
        <w:tc>
          <w:tcPr>
            <w:tcW w:w="1500" w:type="dxa"/>
            <w:vMerge w:val="restart"/>
            <w:tcBorders>
              <w:top w:val="single" w:sz="8" w:space="0" w:color="auto"/>
              <w:left w:val="single" w:sz="8" w:space="0" w:color="auto"/>
              <w:bottom w:val="single" w:sz="8" w:space="0" w:color="000000"/>
              <w:right w:val="nil"/>
            </w:tcBorders>
            <w:shd w:val="clear" w:color="000000" w:fill="BDD6EE"/>
            <w:vAlign w:val="center"/>
            <w:hideMark/>
          </w:tcPr>
          <w:p w14:paraId="49270468"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t>(non-severe) pneumonia</w:t>
            </w:r>
          </w:p>
        </w:tc>
        <w:tc>
          <w:tcPr>
            <w:tcW w:w="3560" w:type="dxa"/>
            <w:tcBorders>
              <w:top w:val="single" w:sz="8" w:space="0" w:color="auto"/>
              <w:left w:val="single" w:sz="8" w:space="0" w:color="auto"/>
              <w:bottom w:val="nil"/>
              <w:right w:val="single" w:sz="8" w:space="0" w:color="auto"/>
            </w:tcBorders>
            <w:shd w:val="clear" w:color="auto" w:fill="auto"/>
            <w:noWrap/>
            <w:vAlign w:val="bottom"/>
            <w:hideMark/>
          </w:tcPr>
          <w:p w14:paraId="78E0F2AD" w14:textId="77777777" w:rsidR="00A87C5C" w:rsidRPr="00A87C5C" w:rsidRDefault="00A87C5C" w:rsidP="00A87C5C">
            <w:pPr>
              <w:spacing w:after="0" w:line="240" w:lineRule="auto"/>
              <w:ind w:firstLine="0"/>
              <w:contextualSpacing w:val="0"/>
              <w:jc w:val="left"/>
              <w:rPr>
                <w:rFonts w:ascii="Calibri" w:eastAsia="Times New Roman" w:hAnsi="Calibri" w:cs="Calibri"/>
                <w:color w:val="000000"/>
                <w:lang w:eastAsia="en-GB"/>
              </w:rPr>
            </w:pPr>
            <w:r w:rsidRPr="00A87C5C">
              <w:rPr>
                <w:rFonts w:ascii="Calibri" w:eastAsia="Times New Roman" w:hAnsi="Calibri" w:cs="Calibri"/>
                <w:color w:val="000000"/>
                <w:lang w:eastAsia="en-GB"/>
              </w:rPr>
              <w:t> </w:t>
            </w:r>
          </w:p>
        </w:tc>
      </w:tr>
      <w:tr w:rsidR="00A87C5C" w:rsidRPr="00A87C5C" w14:paraId="52412930" w14:textId="77777777" w:rsidTr="00A87C5C">
        <w:trPr>
          <w:trHeight w:val="29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4A5DCBD0"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nil"/>
              <w:bottom w:val="single" w:sz="4" w:space="0" w:color="auto"/>
              <w:right w:val="single" w:sz="8" w:space="0" w:color="auto"/>
            </w:tcBorders>
            <w:shd w:val="clear" w:color="auto" w:fill="auto"/>
            <w:vAlign w:val="center"/>
            <w:hideMark/>
          </w:tcPr>
          <w:p w14:paraId="0B60BE56"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t>Fast breathing for age,</w:t>
            </w:r>
          </w:p>
        </w:tc>
        <w:tc>
          <w:tcPr>
            <w:tcW w:w="1500" w:type="dxa"/>
            <w:vMerge/>
            <w:tcBorders>
              <w:top w:val="single" w:sz="8" w:space="0" w:color="auto"/>
              <w:left w:val="single" w:sz="8" w:space="0" w:color="auto"/>
              <w:bottom w:val="single" w:sz="8" w:space="0" w:color="000000"/>
              <w:right w:val="nil"/>
            </w:tcBorders>
            <w:vAlign w:val="center"/>
            <w:hideMark/>
          </w:tcPr>
          <w:p w14:paraId="19729F91"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single" w:sz="8" w:space="0" w:color="auto"/>
              <w:bottom w:val="nil"/>
              <w:right w:val="single" w:sz="8" w:space="0" w:color="auto"/>
            </w:tcBorders>
            <w:shd w:val="clear" w:color="auto" w:fill="auto"/>
            <w:noWrap/>
            <w:vAlign w:val="bottom"/>
            <w:hideMark/>
          </w:tcPr>
          <w:p w14:paraId="5D604B9A" w14:textId="77777777" w:rsidR="00A87C5C" w:rsidRPr="00A87C5C" w:rsidRDefault="00A87C5C" w:rsidP="00A87C5C">
            <w:pPr>
              <w:spacing w:after="0" w:line="240" w:lineRule="auto"/>
              <w:ind w:firstLine="0"/>
              <w:contextualSpacing w:val="0"/>
              <w:jc w:val="left"/>
              <w:rPr>
                <w:rFonts w:ascii="Calibri" w:eastAsia="Times New Roman" w:hAnsi="Calibri" w:cs="Calibri"/>
                <w:color w:val="000000"/>
                <w:lang w:eastAsia="en-GB"/>
              </w:rPr>
            </w:pPr>
            <w:r w:rsidRPr="00A87C5C">
              <w:rPr>
                <w:rFonts w:ascii="Calibri" w:eastAsia="Times New Roman" w:hAnsi="Calibri" w:cs="Calibri"/>
                <w:color w:val="000000"/>
                <w:lang w:eastAsia="en-GB"/>
              </w:rPr>
              <w:t> </w:t>
            </w:r>
          </w:p>
        </w:tc>
      </w:tr>
      <w:tr w:rsidR="00A87C5C" w:rsidRPr="00A87C5C" w14:paraId="47077B94" w14:textId="77777777" w:rsidTr="00A87C5C">
        <w:trPr>
          <w:trHeight w:val="30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28D5F2E7"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nil"/>
              <w:bottom w:val="nil"/>
              <w:right w:val="single" w:sz="8" w:space="0" w:color="auto"/>
            </w:tcBorders>
            <w:shd w:val="clear" w:color="auto" w:fill="auto"/>
            <w:noWrap/>
            <w:vAlign w:val="bottom"/>
            <w:hideMark/>
          </w:tcPr>
          <w:p w14:paraId="32D440F1" w14:textId="77777777" w:rsidR="00A87C5C" w:rsidRPr="00A87C5C" w:rsidRDefault="00A87C5C" w:rsidP="00A87C5C">
            <w:pPr>
              <w:spacing w:after="0" w:line="240" w:lineRule="auto"/>
              <w:ind w:firstLine="0"/>
              <w:contextualSpacing w:val="0"/>
              <w:jc w:val="left"/>
              <w:rPr>
                <w:rFonts w:ascii="Calibri" w:eastAsia="Times New Roman" w:hAnsi="Calibri" w:cs="Calibri"/>
                <w:color w:val="000000"/>
                <w:sz w:val="21"/>
                <w:szCs w:val="21"/>
                <w:lang w:eastAsia="en-GB"/>
              </w:rPr>
            </w:pPr>
            <w:r w:rsidRPr="00A87C5C">
              <w:rPr>
                <w:rFonts w:ascii="Calibri" w:eastAsia="Times New Roman" w:hAnsi="Calibri" w:cs="Calibri"/>
                <w:color w:val="000000"/>
                <w:sz w:val="21"/>
                <w:szCs w:val="21"/>
                <w:lang w:eastAsia="en-GB"/>
              </w:rPr>
              <w:t>No chest indrawing</w:t>
            </w:r>
          </w:p>
        </w:tc>
        <w:tc>
          <w:tcPr>
            <w:tcW w:w="1500" w:type="dxa"/>
            <w:vMerge/>
            <w:tcBorders>
              <w:top w:val="single" w:sz="8" w:space="0" w:color="auto"/>
              <w:left w:val="single" w:sz="8" w:space="0" w:color="auto"/>
              <w:bottom w:val="single" w:sz="8" w:space="0" w:color="000000"/>
              <w:right w:val="nil"/>
            </w:tcBorders>
            <w:vAlign w:val="center"/>
            <w:hideMark/>
          </w:tcPr>
          <w:p w14:paraId="13CC19CC"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single" w:sz="8" w:space="0" w:color="auto"/>
              <w:bottom w:val="single" w:sz="4" w:space="0" w:color="auto"/>
              <w:right w:val="single" w:sz="8" w:space="0" w:color="auto"/>
            </w:tcBorders>
            <w:shd w:val="clear" w:color="auto" w:fill="auto"/>
            <w:noWrap/>
            <w:vAlign w:val="center"/>
            <w:hideMark/>
          </w:tcPr>
          <w:p w14:paraId="18065C16" w14:textId="77777777" w:rsidR="00A87C5C" w:rsidRPr="00A87C5C" w:rsidRDefault="00A87C5C" w:rsidP="00A87C5C">
            <w:pPr>
              <w:spacing w:after="0" w:line="240" w:lineRule="auto"/>
              <w:ind w:firstLine="0"/>
              <w:contextualSpacing w:val="0"/>
              <w:jc w:val="left"/>
              <w:rPr>
                <w:rFonts w:ascii="Calibri" w:eastAsia="Times New Roman" w:hAnsi="Calibri" w:cs="Calibri"/>
                <w:color w:val="000000"/>
                <w:sz w:val="21"/>
                <w:szCs w:val="21"/>
                <w:lang w:eastAsia="en-GB"/>
              </w:rPr>
            </w:pPr>
            <w:r w:rsidRPr="00A87C5C">
              <w:rPr>
                <w:rFonts w:ascii="Calibri" w:eastAsia="Times New Roman" w:hAnsi="Calibri" w:cs="Calibri"/>
                <w:color w:val="000000"/>
                <w:sz w:val="21"/>
                <w:szCs w:val="21"/>
                <w:lang w:eastAsia="en-GB"/>
              </w:rPr>
              <w:t>Cough and/or difficult breathing, and</w:t>
            </w:r>
          </w:p>
        </w:tc>
      </w:tr>
      <w:tr w:rsidR="00A87C5C" w:rsidRPr="00A87C5C" w14:paraId="6398C422" w14:textId="77777777" w:rsidTr="00A87C5C">
        <w:trPr>
          <w:trHeight w:val="29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051CB077"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single" w:sz="4" w:space="0" w:color="auto"/>
              <w:left w:val="nil"/>
              <w:bottom w:val="single" w:sz="4" w:space="0" w:color="auto"/>
              <w:right w:val="single" w:sz="8" w:space="0" w:color="auto"/>
            </w:tcBorders>
            <w:shd w:val="clear" w:color="auto" w:fill="auto"/>
            <w:vAlign w:val="center"/>
            <w:hideMark/>
          </w:tcPr>
          <w:p w14:paraId="38AA7496" w14:textId="77777777" w:rsidR="00A87C5C" w:rsidRPr="00A87C5C" w:rsidRDefault="00A87C5C" w:rsidP="00A87C5C">
            <w:pPr>
              <w:spacing w:after="0" w:line="240" w:lineRule="auto"/>
              <w:ind w:firstLine="0"/>
              <w:contextualSpacing w:val="0"/>
              <w:jc w:val="left"/>
              <w:rPr>
                <w:rFonts w:ascii="Calibri" w:eastAsia="Times New Roman" w:hAnsi="Calibri" w:cs="Calibri"/>
                <w:color w:val="000000"/>
                <w:sz w:val="21"/>
                <w:szCs w:val="21"/>
                <w:lang w:eastAsia="en-GB"/>
              </w:rPr>
            </w:pPr>
            <w:r w:rsidRPr="00A87C5C">
              <w:rPr>
                <w:rFonts w:ascii="Calibri" w:eastAsia="Times New Roman" w:hAnsi="Calibri" w:cs="Calibri"/>
                <w:color w:val="000000"/>
                <w:sz w:val="21"/>
                <w:szCs w:val="21"/>
                <w:lang w:eastAsia="en-GB"/>
              </w:rPr>
              <w:t>No danger signs</w:t>
            </w:r>
          </w:p>
        </w:tc>
        <w:tc>
          <w:tcPr>
            <w:tcW w:w="1500" w:type="dxa"/>
            <w:vMerge/>
            <w:tcBorders>
              <w:top w:val="single" w:sz="8" w:space="0" w:color="auto"/>
              <w:left w:val="single" w:sz="8" w:space="0" w:color="auto"/>
              <w:bottom w:val="single" w:sz="8" w:space="0" w:color="000000"/>
              <w:right w:val="nil"/>
            </w:tcBorders>
            <w:vAlign w:val="center"/>
            <w:hideMark/>
          </w:tcPr>
          <w:p w14:paraId="7E477089"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single" w:sz="8" w:space="0" w:color="auto"/>
              <w:bottom w:val="single" w:sz="4" w:space="0" w:color="auto"/>
              <w:right w:val="single" w:sz="8" w:space="0" w:color="auto"/>
            </w:tcBorders>
            <w:shd w:val="clear" w:color="auto" w:fill="auto"/>
            <w:vAlign w:val="center"/>
            <w:hideMark/>
          </w:tcPr>
          <w:p w14:paraId="15B53401"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t>Fast breathing for age, or</w:t>
            </w:r>
          </w:p>
        </w:tc>
      </w:tr>
      <w:tr w:rsidR="00A87C5C" w:rsidRPr="00A87C5C" w14:paraId="0C23F715" w14:textId="77777777" w:rsidTr="00A87C5C">
        <w:trPr>
          <w:trHeight w:val="30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76A927E9"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nil"/>
              <w:bottom w:val="single" w:sz="8" w:space="0" w:color="auto"/>
              <w:right w:val="single" w:sz="8" w:space="0" w:color="auto"/>
            </w:tcBorders>
            <w:shd w:val="clear" w:color="auto" w:fill="auto"/>
            <w:vAlign w:val="center"/>
            <w:hideMark/>
          </w:tcPr>
          <w:p w14:paraId="526D147F" w14:textId="77777777" w:rsidR="00A87C5C" w:rsidRPr="00A87C5C" w:rsidRDefault="00A87C5C" w:rsidP="00A87C5C">
            <w:pPr>
              <w:spacing w:after="0" w:line="240" w:lineRule="auto"/>
              <w:ind w:firstLine="0"/>
              <w:contextualSpacing w:val="0"/>
              <w:jc w:val="left"/>
              <w:rPr>
                <w:rFonts w:ascii="Calibri" w:eastAsia="Times New Roman" w:hAnsi="Calibri" w:cs="Calibri"/>
                <w:color w:val="000000"/>
                <w:sz w:val="21"/>
                <w:szCs w:val="21"/>
                <w:lang w:eastAsia="en-GB"/>
              </w:rPr>
            </w:pPr>
            <w:r w:rsidRPr="00A87C5C">
              <w:rPr>
                <w:rFonts w:ascii="Calibri" w:eastAsia="Times New Roman" w:hAnsi="Calibri" w:cs="Calibri"/>
                <w:color w:val="000000"/>
                <w:sz w:val="21"/>
                <w:szCs w:val="21"/>
                <w:lang w:eastAsia="en-GB"/>
              </w:rPr>
              <w:t>No stridor when calm</w:t>
            </w:r>
          </w:p>
        </w:tc>
        <w:tc>
          <w:tcPr>
            <w:tcW w:w="1500" w:type="dxa"/>
            <w:vMerge/>
            <w:tcBorders>
              <w:top w:val="single" w:sz="8" w:space="0" w:color="auto"/>
              <w:left w:val="single" w:sz="8" w:space="0" w:color="auto"/>
              <w:bottom w:val="single" w:sz="8" w:space="0" w:color="000000"/>
              <w:right w:val="nil"/>
            </w:tcBorders>
            <w:vAlign w:val="center"/>
            <w:hideMark/>
          </w:tcPr>
          <w:p w14:paraId="3DB839E8"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single" w:sz="8" w:space="0" w:color="auto"/>
              <w:bottom w:val="single" w:sz="4" w:space="0" w:color="auto"/>
              <w:right w:val="single" w:sz="8" w:space="0" w:color="auto"/>
            </w:tcBorders>
            <w:shd w:val="clear" w:color="auto" w:fill="auto"/>
            <w:vAlign w:val="center"/>
            <w:hideMark/>
          </w:tcPr>
          <w:p w14:paraId="5F925717"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t>Lower chest indrawing</w:t>
            </w:r>
          </w:p>
        </w:tc>
      </w:tr>
      <w:tr w:rsidR="00A87C5C" w:rsidRPr="00A87C5C" w14:paraId="430D1E76" w14:textId="77777777" w:rsidTr="00A87C5C">
        <w:trPr>
          <w:trHeight w:val="290"/>
        </w:trPr>
        <w:tc>
          <w:tcPr>
            <w:tcW w:w="1500" w:type="dxa"/>
            <w:vMerge w:val="restart"/>
            <w:tcBorders>
              <w:top w:val="nil"/>
              <w:left w:val="single" w:sz="8" w:space="0" w:color="auto"/>
              <w:bottom w:val="single" w:sz="8" w:space="0" w:color="000000"/>
              <w:right w:val="single" w:sz="8" w:space="0" w:color="auto"/>
            </w:tcBorders>
            <w:shd w:val="clear" w:color="000000" w:fill="BDD6EE"/>
            <w:vAlign w:val="center"/>
            <w:hideMark/>
          </w:tcPr>
          <w:p w14:paraId="5ACA9F6B"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t>Severe pneumonia</w:t>
            </w:r>
          </w:p>
        </w:tc>
        <w:tc>
          <w:tcPr>
            <w:tcW w:w="3560" w:type="dxa"/>
            <w:tcBorders>
              <w:top w:val="nil"/>
              <w:left w:val="nil"/>
              <w:bottom w:val="single" w:sz="4" w:space="0" w:color="auto"/>
              <w:right w:val="single" w:sz="8" w:space="0" w:color="auto"/>
            </w:tcBorders>
            <w:shd w:val="clear" w:color="auto" w:fill="auto"/>
            <w:noWrap/>
            <w:vAlign w:val="center"/>
            <w:hideMark/>
          </w:tcPr>
          <w:p w14:paraId="2A52ADF4" w14:textId="77777777" w:rsidR="00A87C5C" w:rsidRPr="00A87C5C" w:rsidRDefault="00A87C5C" w:rsidP="00A87C5C">
            <w:pPr>
              <w:spacing w:after="0" w:line="240" w:lineRule="auto"/>
              <w:ind w:firstLine="0"/>
              <w:contextualSpacing w:val="0"/>
              <w:jc w:val="left"/>
              <w:rPr>
                <w:rFonts w:ascii="Calibri" w:eastAsia="Times New Roman" w:hAnsi="Calibri" w:cs="Calibri"/>
                <w:color w:val="000000"/>
                <w:sz w:val="21"/>
                <w:szCs w:val="21"/>
                <w:lang w:eastAsia="en-GB"/>
              </w:rPr>
            </w:pPr>
            <w:r w:rsidRPr="00A87C5C">
              <w:rPr>
                <w:rFonts w:ascii="Calibri" w:eastAsia="Times New Roman" w:hAnsi="Calibri" w:cs="Calibri"/>
                <w:color w:val="000000"/>
                <w:sz w:val="21"/>
                <w:szCs w:val="21"/>
                <w:lang w:eastAsia="en-GB"/>
              </w:rPr>
              <w:t>Cough and/or difficult breathing, and</w:t>
            </w:r>
          </w:p>
        </w:tc>
        <w:tc>
          <w:tcPr>
            <w:tcW w:w="1500" w:type="dxa"/>
            <w:vMerge/>
            <w:tcBorders>
              <w:top w:val="single" w:sz="8" w:space="0" w:color="auto"/>
              <w:left w:val="single" w:sz="8" w:space="0" w:color="auto"/>
              <w:bottom w:val="single" w:sz="8" w:space="0" w:color="000000"/>
              <w:right w:val="nil"/>
            </w:tcBorders>
            <w:vAlign w:val="center"/>
            <w:hideMark/>
          </w:tcPr>
          <w:p w14:paraId="40E83A90"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single" w:sz="8" w:space="0" w:color="auto"/>
              <w:bottom w:val="single" w:sz="4" w:space="0" w:color="auto"/>
              <w:right w:val="single" w:sz="8" w:space="0" w:color="auto"/>
            </w:tcBorders>
            <w:shd w:val="clear" w:color="auto" w:fill="auto"/>
            <w:vAlign w:val="center"/>
            <w:hideMark/>
          </w:tcPr>
          <w:p w14:paraId="281B86BF" w14:textId="77777777" w:rsidR="00A87C5C" w:rsidRPr="00A87C5C" w:rsidRDefault="00A87C5C" w:rsidP="00A87C5C">
            <w:pPr>
              <w:spacing w:after="0" w:line="240" w:lineRule="auto"/>
              <w:ind w:firstLine="0"/>
              <w:contextualSpacing w:val="0"/>
              <w:jc w:val="left"/>
              <w:rPr>
                <w:rFonts w:ascii="Calibri" w:eastAsia="Times New Roman" w:hAnsi="Calibri" w:cs="Calibri"/>
                <w:color w:val="000000"/>
                <w:sz w:val="21"/>
                <w:szCs w:val="21"/>
                <w:lang w:eastAsia="en-GB"/>
              </w:rPr>
            </w:pPr>
            <w:r w:rsidRPr="00A87C5C">
              <w:rPr>
                <w:rFonts w:ascii="Calibri" w:eastAsia="Times New Roman" w:hAnsi="Calibri" w:cs="Calibri"/>
                <w:color w:val="000000"/>
                <w:sz w:val="21"/>
                <w:szCs w:val="21"/>
                <w:lang w:eastAsia="en-GB"/>
              </w:rPr>
              <w:t>No danger signs</w:t>
            </w:r>
          </w:p>
        </w:tc>
      </w:tr>
      <w:tr w:rsidR="00A87C5C" w:rsidRPr="00A87C5C" w14:paraId="660749CB" w14:textId="77777777" w:rsidTr="00A87C5C">
        <w:trPr>
          <w:trHeight w:val="290"/>
        </w:trPr>
        <w:tc>
          <w:tcPr>
            <w:tcW w:w="1500" w:type="dxa"/>
            <w:vMerge/>
            <w:tcBorders>
              <w:top w:val="nil"/>
              <w:left w:val="single" w:sz="8" w:space="0" w:color="auto"/>
              <w:bottom w:val="single" w:sz="8" w:space="0" w:color="000000"/>
              <w:right w:val="single" w:sz="8" w:space="0" w:color="auto"/>
            </w:tcBorders>
            <w:vAlign w:val="center"/>
            <w:hideMark/>
          </w:tcPr>
          <w:p w14:paraId="69565CDF"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nil"/>
              <w:bottom w:val="single" w:sz="4" w:space="0" w:color="auto"/>
              <w:right w:val="single" w:sz="8" w:space="0" w:color="auto"/>
            </w:tcBorders>
            <w:shd w:val="clear" w:color="auto" w:fill="auto"/>
            <w:vAlign w:val="center"/>
            <w:hideMark/>
          </w:tcPr>
          <w:p w14:paraId="3135C635"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t>Lower chest indrawing</w:t>
            </w:r>
          </w:p>
        </w:tc>
        <w:tc>
          <w:tcPr>
            <w:tcW w:w="1500" w:type="dxa"/>
            <w:vMerge/>
            <w:tcBorders>
              <w:top w:val="single" w:sz="8" w:space="0" w:color="auto"/>
              <w:left w:val="single" w:sz="8" w:space="0" w:color="auto"/>
              <w:bottom w:val="single" w:sz="8" w:space="0" w:color="000000"/>
              <w:right w:val="nil"/>
            </w:tcBorders>
            <w:vAlign w:val="center"/>
            <w:hideMark/>
          </w:tcPr>
          <w:p w14:paraId="7701A802"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single" w:sz="8" w:space="0" w:color="auto"/>
              <w:bottom w:val="nil"/>
              <w:right w:val="single" w:sz="8" w:space="0" w:color="auto"/>
            </w:tcBorders>
            <w:shd w:val="clear" w:color="auto" w:fill="auto"/>
            <w:vAlign w:val="center"/>
            <w:hideMark/>
          </w:tcPr>
          <w:p w14:paraId="15973CE1" w14:textId="77777777" w:rsidR="00A87C5C" w:rsidRPr="00A87C5C" w:rsidRDefault="00A87C5C" w:rsidP="00A87C5C">
            <w:pPr>
              <w:spacing w:after="0" w:line="240" w:lineRule="auto"/>
              <w:ind w:firstLine="0"/>
              <w:contextualSpacing w:val="0"/>
              <w:jc w:val="left"/>
              <w:rPr>
                <w:rFonts w:ascii="Calibri" w:eastAsia="Times New Roman" w:hAnsi="Calibri" w:cs="Calibri"/>
                <w:color w:val="000000"/>
                <w:sz w:val="21"/>
                <w:szCs w:val="21"/>
                <w:lang w:eastAsia="en-GB"/>
              </w:rPr>
            </w:pPr>
            <w:r w:rsidRPr="00A87C5C">
              <w:rPr>
                <w:rFonts w:ascii="Calibri" w:eastAsia="Times New Roman" w:hAnsi="Calibri" w:cs="Calibri"/>
                <w:color w:val="000000"/>
                <w:sz w:val="21"/>
                <w:szCs w:val="21"/>
                <w:lang w:eastAsia="en-GB"/>
              </w:rPr>
              <w:t>No stridor when calm</w:t>
            </w:r>
          </w:p>
        </w:tc>
      </w:tr>
      <w:tr w:rsidR="00A87C5C" w:rsidRPr="00A87C5C" w14:paraId="400947B8" w14:textId="77777777" w:rsidTr="00A87C5C">
        <w:trPr>
          <w:trHeight w:val="290"/>
        </w:trPr>
        <w:tc>
          <w:tcPr>
            <w:tcW w:w="1500" w:type="dxa"/>
            <w:vMerge/>
            <w:tcBorders>
              <w:top w:val="nil"/>
              <w:left w:val="single" w:sz="8" w:space="0" w:color="auto"/>
              <w:bottom w:val="single" w:sz="8" w:space="0" w:color="000000"/>
              <w:right w:val="single" w:sz="8" w:space="0" w:color="auto"/>
            </w:tcBorders>
            <w:vAlign w:val="center"/>
            <w:hideMark/>
          </w:tcPr>
          <w:p w14:paraId="40A6EA94"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nil"/>
              <w:bottom w:val="single" w:sz="4" w:space="0" w:color="auto"/>
              <w:right w:val="single" w:sz="8" w:space="0" w:color="auto"/>
            </w:tcBorders>
            <w:shd w:val="clear" w:color="auto" w:fill="auto"/>
            <w:vAlign w:val="center"/>
            <w:hideMark/>
          </w:tcPr>
          <w:p w14:paraId="5E8216F1" w14:textId="77777777" w:rsidR="00A87C5C" w:rsidRPr="00A87C5C" w:rsidRDefault="00A87C5C" w:rsidP="00A87C5C">
            <w:pPr>
              <w:spacing w:after="0" w:line="240" w:lineRule="auto"/>
              <w:ind w:firstLine="0"/>
              <w:contextualSpacing w:val="0"/>
              <w:jc w:val="left"/>
              <w:rPr>
                <w:rFonts w:ascii="Calibri" w:eastAsia="Times New Roman" w:hAnsi="Calibri" w:cs="Calibri"/>
                <w:color w:val="000000"/>
                <w:sz w:val="21"/>
                <w:szCs w:val="21"/>
                <w:lang w:eastAsia="en-GB"/>
              </w:rPr>
            </w:pPr>
            <w:r w:rsidRPr="00A87C5C">
              <w:rPr>
                <w:rFonts w:ascii="Calibri" w:eastAsia="Times New Roman" w:hAnsi="Calibri" w:cs="Calibri"/>
                <w:color w:val="000000"/>
                <w:sz w:val="21"/>
                <w:szCs w:val="21"/>
                <w:lang w:eastAsia="en-GB"/>
              </w:rPr>
              <w:t>No danger signs</w:t>
            </w:r>
          </w:p>
        </w:tc>
        <w:tc>
          <w:tcPr>
            <w:tcW w:w="1500" w:type="dxa"/>
            <w:vMerge/>
            <w:tcBorders>
              <w:top w:val="single" w:sz="8" w:space="0" w:color="auto"/>
              <w:left w:val="single" w:sz="8" w:space="0" w:color="auto"/>
              <w:bottom w:val="single" w:sz="8" w:space="0" w:color="000000"/>
              <w:right w:val="nil"/>
            </w:tcBorders>
            <w:vAlign w:val="center"/>
            <w:hideMark/>
          </w:tcPr>
          <w:p w14:paraId="3FB6F9F6"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single" w:sz="8" w:space="0" w:color="auto"/>
              <w:bottom w:val="nil"/>
              <w:right w:val="single" w:sz="8" w:space="0" w:color="auto"/>
            </w:tcBorders>
            <w:shd w:val="clear" w:color="auto" w:fill="auto"/>
            <w:noWrap/>
            <w:vAlign w:val="bottom"/>
            <w:hideMark/>
          </w:tcPr>
          <w:p w14:paraId="69A0271C" w14:textId="77777777" w:rsidR="00A87C5C" w:rsidRPr="00A87C5C" w:rsidRDefault="00A87C5C" w:rsidP="00A87C5C">
            <w:pPr>
              <w:spacing w:after="0" w:line="240" w:lineRule="auto"/>
              <w:ind w:firstLine="0"/>
              <w:contextualSpacing w:val="0"/>
              <w:jc w:val="left"/>
              <w:rPr>
                <w:rFonts w:ascii="Calibri" w:eastAsia="Times New Roman" w:hAnsi="Calibri" w:cs="Calibri"/>
                <w:color w:val="000000"/>
                <w:lang w:eastAsia="en-GB"/>
              </w:rPr>
            </w:pPr>
            <w:r w:rsidRPr="00A87C5C">
              <w:rPr>
                <w:rFonts w:ascii="Calibri" w:eastAsia="Times New Roman" w:hAnsi="Calibri" w:cs="Calibri"/>
                <w:color w:val="000000"/>
                <w:lang w:eastAsia="en-GB"/>
              </w:rPr>
              <w:t> </w:t>
            </w:r>
          </w:p>
        </w:tc>
      </w:tr>
      <w:tr w:rsidR="00A87C5C" w:rsidRPr="00A87C5C" w14:paraId="22685EEC" w14:textId="77777777" w:rsidTr="00A87C5C">
        <w:trPr>
          <w:trHeight w:val="300"/>
        </w:trPr>
        <w:tc>
          <w:tcPr>
            <w:tcW w:w="1500" w:type="dxa"/>
            <w:vMerge/>
            <w:tcBorders>
              <w:top w:val="nil"/>
              <w:left w:val="single" w:sz="8" w:space="0" w:color="auto"/>
              <w:bottom w:val="single" w:sz="8" w:space="0" w:color="000000"/>
              <w:right w:val="single" w:sz="8" w:space="0" w:color="auto"/>
            </w:tcBorders>
            <w:vAlign w:val="center"/>
            <w:hideMark/>
          </w:tcPr>
          <w:p w14:paraId="3F1142EC"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nil"/>
              <w:bottom w:val="single" w:sz="8" w:space="0" w:color="auto"/>
              <w:right w:val="single" w:sz="8" w:space="0" w:color="auto"/>
            </w:tcBorders>
            <w:shd w:val="clear" w:color="auto" w:fill="auto"/>
            <w:noWrap/>
            <w:vAlign w:val="bottom"/>
            <w:hideMark/>
          </w:tcPr>
          <w:p w14:paraId="144132DA" w14:textId="77777777" w:rsidR="00A87C5C" w:rsidRPr="00A87C5C" w:rsidRDefault="00A87C5C" w:rsidP="00A87C5C">
            <w:pPr>
              <w:spacing w:after="0" w:line="240" w:lineRule="auto"/>
              <w:ind w:firstLine="0"/>
              <w:contextualSpacing w:val="0"/>
              <w:jc w:val="left"/>
              <w:rPr>
                <w:rFonts w:ascii="Calibri" w:eastAsia="Times New Roman" w:hAnsi="Calibri" w:cs="Calibri"/>
                <w:color w:val="000000"/>
                <w:sz w:val="21"/>
                <w:szCs w:val="21"/>
                <w:lang w:eastAsia="en-GB"/>
              </w:rPr>
            </w:pPr>
            <w:r w:rsidRPr="00A87C5C">
              <w:rPr>
                <w:rFonts w:ascii="Calibri" w:eastAsia="Times New Roman" w:hAnsi="Calibri" w:cs="Calibri"/>
                <w:color w:val="000000"/>
                <w:sz w:val="21"/>
                <w:szCs w:val="21"/>
                <w:lang w:eastAsia="en-GB"/>
              </w:rPr>
              <w:t>No stridor when calm</w:t>
            </w:r>
          </w:p>
        </w:tc>
        <w:tc>
          <w:tcPr>
            <w:tcW w:w="1500" w:type="dxa"/>
            <w:vMerge/>
            <w:tcBorders>
              <w:top w:val="single" w:sz="8" w:space="0" w:color="auto"/>
              <w:left w:val="single" w:sz="8" w:space="0" w:color="auto"/>
              <w:bottom w:val="single" w:sz="8" w:space="0" w:color="000000"/>
              <w:right w:val="nil"/>
            </w:tcBorders>
            <w:vAlign w:val="center"/>
            <w:hideMark/>
          </w:tcPr>
          <w:p w14:paraId="244883E1"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single" w:sz="8" w:space="0" w:color="auto"/>
              <w:bottom w:val="single" w:sz="8" w:space="0" w:color="auto"/>
              <w:right w:val="single" w:sz="8" w:space="0" w:color="auto"/>
            </w:tcBorders>
            <w:shd w:val="clear" w:color="auto" w:fill="auto"/>
            <w:noWrap/>
            <w:vAlign w:val="bottom"/>
            <w:hideMark/>
          </w:tcPr>
          <w:p w14:paraId="0CF80870" w14:textId="77777777" w:rsidR="00A87C5C" w:rsidRPr="00A87C5C" w:rsidRDefault="00A87C5C" w:rsidP="00A87C5C">
            <w:pPr>
              <w:spacing w:after="0" w:line="240" w:lineRule="auto"/>
              <w:ind w:firstLine="0"/>
              <w:contextualSpacing w:val="0"/>
              <w:jc w:val="left"/>
              <w:rPr>
                <w:rFonts w:ascii="Calibri" w:eastAsia="Times New Roman" w:hAnsi="Calibri" w:cs="Calibri"/>
                <w:color w:val="000000"/>
                <w:lang w:eastAsia="en-GB"/>
              </w:rPr>
            </w:pPr>
            <w:r w:rsidRPr="00A87C5C">
              <w:rPr>
                <w:rFonts w:ascii="Calibri" w:eastAsia="Times New Roman" w:hAnsi="Calibri" w:cs="Calibri"/>
                <w:color w:val="000000"/>
                <w:lang w:eastAsia="en-GB"/>
              </w:rPr>
              <w:t> </w:t>
            </w:r>
          </w:p>
        </w:tc>
      </w:tr>
      <w:tr w:rsidR="00A87C5C" w:rsidRPr="00A87C5C" w14:paraId="54253C70" w14:textId="77777777" w:rsidTr="00A87C5C">
        <w:trPr>
          <w:trHeight w:val="290"/>
        </w:trPr>
        <w:tc>
          <w:tcPr>
            <w:tcW w:w="1500" w:type="dxa"/>
            <w:vMerge w:val="restart"/>
            <w:tcBorders>
              <w:top w:val="nil"/>
              <w:left w:val="single" w:sz="8" w:space="0" w:color="auto"/>
              <w:bottom w:val="single" w:sz="8" w:space="0" w:color="000000"/>
              <w:right w:val="single" w:sz="8" w:space="0" w:color="auto"/>
            </w:tcBorders>
            <w:shd w:val="clear" w:color="000000" w:fill="BDD6EE"/>
            <w:vAlign w:val="center"/>
            <w:hideMark/>
          </w:tcPr>
          <w:p w14:paraId="190E39FC"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lastRenderedPageBreak/>
              <w:t>Very severe pneumonia</w:t>
            </w:r>
          </w:p>
        </w:tc>
        <w:tc>
          <w:tcPr>
            <w:tcW w:w="3560" w:type="dxa"/>
            <w:tcBorders>
              <w:top w:val="nil"/>
              <w:left w:val="nil"/>
              <w:bottom w:val="single" w:sz="4" w:space="0" w:color="auto"/>
              <w:right w:val="single" w:sz="8" w:space="0" w:color="auto"/>
            </w:tcBorders>
            <w:shd w:val="clear" w:color="auto" w:fill="auto"/>
            <w:noWrap/>
            <w:vAlign w:val="center"/>
            <w:hideMark/>
          </w:tcPr>
          <w:p w14:paraId="51D33F81" w14:textId="77777777" w:rsidR="00A87C5C" w:rsidRPr="00A87C5C" w:rsidRDefault="00A87C5C" w:rsidP="00A87C5C">
            <w:pPr>
              <w:spacing w:after="0" w:line="240" w:lineRule="auto"/>
              <w:ind w:firstLine="0"/>
              <w:contextualSpacing w:val="0"/>
              <w:jc w:val="left"/>
              <w:rPr>
                <w:rFonts w:ascii="Calibri" w:eastAsia="Times New Roman" w:hAnsi="Calibri" w:cs="Calibri"/>
                <w:color w:val="000000"/>
                <w:sz w:val="21"/>
                <w:szCs w:val="21"/>
                <w:lang w:eastAsia="en-GB"/>
              </w:rPr>
            </w:pPr>
            <w:r w:rsidRPr="00A87C5C">
              <w:rPr>
                <w:rFonts w:ascii="Calibri" w:eastAsia="Times New Roman" w:hAnsi="Calibri" w:cs="Calibri"/>
                <w:color w:val="000000"/>
                <w:sz w:val="21"/>
                <w:szCs w:val="21"/>
                <w:lang w:eastAsia="en-GB"/>
              </w:rPr>
              <w:t>Cough and/or difficult breathing, and</w:t>
            </w:r>
          </w:p>
        </w:tc>
        <w:tc>
          <w:tcPr>
            <w:tcW w:w="1500" w:type="dxa"/>
            <w:vMerge w:val="restart"/>
            <w:tcBorders>
              <w:top w:val="nil"/>
              <w:left w:val="single" w:sz="8" w:space="0" w:color="auto"/>
              <w:bottom w:val="single" w:sz="8" w:space="0" w:color="000000"/>
              <w:right w:val="single" w:sz="8" w:space="0" w:color="auto"/>
            </w:tcBorders>
            <w:shd w:val="clear" w:color="000000" w:fill="BDD6EE"/>
            <w:vAlign w:val="center"/>
            <w:hideMark/>
          </w:tcPr>
          <w:p w14:paraId="3038123A"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t>Severe pneumonia</w:t>
            </w:r>
          </w:p>
        </w:tc>
        <w:tc>
          <w:tcPr>
            <w:tcW w:w="3560" w:type="dxa"/>
            <w:tcBorders>
              <w:top w:val="nil"/>
              <w:left w:val="nil"/>
              <w:bottom w:val="single" w:sz="4" w:space="0" w:color="auto"/>
              <w:right w:val="single" w:sz="8" w:space="0" w:color="auto"/>
            </w:tcBorders>
            <w:shd w:val="clear" w:color="auto" w:fill="auto"/>
            <w:noWrap/>
            <w:vAlign w:val="center"/>
            <w:hideMark/>
          </w:tcPr>
          <w:p w14:paraId="72201728" w14:textId="77777777" w:rsidR="00A87C5C" w:rsidRPr="00A87C5C" w:rsidRDefault="00A87C5C" w:rsidP="00A87C5C">
            <w:pPr>
              <w:spacing w:after="0" w:line="240" w:lineRule="auto"/>
              <w:ind w:firstLine="0"/>
              <w:contextualSpacing w:val="0"/>
              <w:jc w:val="left"/>
              <w:rPr>
                <w:rFonts w:ascii="Calibri" w:eastAsia="Times New Roman" w:hAnsi="Calibri" w:cs="Calibri"/>
                <w:color w:val="000000"/>
                <w:sz w:val="21"/>
                <w:szCs w:val="21"/>
                <w:lang w:eastAsia="en-GB"/>
              </w:rPr>
            </w:pPr>
            <w:r w:rsidRPr="00A87C5C">
              <w:rPr>
                <w:rFonts w:ascii="Calibri" w:eastAsia="Times New Roman" w:hAnsi="Calibri" w:cs="Calibri"/>
                <w:color w:val="000000"/>
                <w:sz w:val="21"/>
                <w:szCs w:val="21"/>
                <w:lang w:eastAsia="en-GB"/>
              </w:rPr>
              <w:t>Cough and/or difficult breathing, and</w:t>
            </w:r>
          </w:p>
        </w:tc>
      </w:tr>
      <w:tr w:rsidR="00A87C5C" w:rsidRPr="00A87C5C" w14:paraId="576DE7A2" w14:textId="77777777" w:rsidTr="00A87C5C">
        <w:trPr>
          <w:trHeight w:val="290"/>
        </w:trPr>
        <w:tc>
          <w:tcPr>
            <w:tcW w:w="1500" w:type="dxa"/>
            <w:vMerge/>
            <w:tcBorders>
              <w:top w:val="nil"/>
              <w:left w:val="single" w:sz="8" w:space="0" w:color="auto"/>
              <w:bottom w:val="single" w:sz="8" w:space="0" w:color="000000"/>
              <w:right w:val="single" w:sz="8" w:space="0" w:color="auto"/>
            </w:tcBorders>
            <w:vAlign w:val="center"/>
            <w:hideMark/>
          </w:tcPr>
          <w:p w14:paraId="338C6589"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nil"/>
              <w:bottom w:val="single" w:sz="4" w:space="0" w:color="auto"/>
              <w:right w:val="single" w:sz="8" w:space="0" w:color="auto"/>
            </w:tcBorders>
            <w:shd w:val="clear" w:color="auto" w:fill="auto"/>
            <w:vAlign w:val="center"/>
            <w:hideMark/>
          </w:tcPr>
          <w:p w14:paraId="2C20123C"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t>Any general danger sign, or</w:t>
            </w:r>
          </w:p>
        </w:tc>
        <w:tc>
          <w:tcPr>
            <w:tcW w:w="1500" w:type="dxa"/>
            <w:vMerge/>
            <w:tcBorders>
              <w:top w:val="nil"/>
              <w:left w:val="single" w:sz="8" w:space="0" w:color="auto"/>
              <w:bottom w:val="single" w:sz="8" w:space="0" w:color="000000"/>
              <w:right w:val="single" w:sz="8" w:space="0" w:color="auto"/>
            </w:tcBorders>
            <w:vAlign w:val="center"/>
            <w:hideMark/>
          </w:tcPr>
          <w:p w14:paraId="65685CFD"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nil"/>
              <w:bottom w:val="single" w:sz="4" w:space="0" w:color="auto"/>
              <w:right w:val="single" w:sz="8" w:space="0" w:color="auto"/>
            </w:tcBorders>
            <w:shd w:val="clear" w:color="auto" w:fill="auto"/>
            <w:vAlign w:val="center"/>
            <w:hideMark/>
          </w:tcPr>
          <w:p w14:paraId="6FC443E7"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t>Any general danger sign, or</w:t>
            </w:r>
          </w:p>
        </w:tc>
      </w:tr>
      <w:tr w:rsidR="00A87C5C" w:rsidRPr="00A87C5C" w14:paraId="26F672EA" w14:textId="77777777" w:rsidTr="00A87C5C">
        <w:trPr>
          <w:trHeight w:val="300"/>
        </w:trPr>
        <w:tc>
          <w:tcPr>
            <w:tcW w:w="1500" w:type="dxa"/>
            <w:vMerge/>
            <w:tcBorders>
              <w:top w:val="nil"/>
              <w:left w:val="single" w:sz="8" w:space="0" w:color="auto"/>
              <w:bottom w:val="single" w:sz="8" w:space="0" w:color="000000"/>
              <w:right w:val="single" w:sz="8" w:space="0" w:color="auto"/>
            </w:tcBorders>
            <w:vAlign w:val="center"/>
            <w:hideMark/>
          </w:tcPr>
          <w:p w14:paraId="2E5C0F4A"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nil"/>
              <w:bottom w:val="single" w:sz="8" w:space="0" w:color="auto"/>
              <w:right w:val="single" w:sz="8" w:space="0" w:color="auto"/>
            </w:tcBorders>
            <w:shd w:val="clear" w:color="auto" w:fill="auto"/>
            <w:vAlign w:val="center"/>
            <w:hideMark/>
          </w:tcPr>
          <w:p w14:paraId="1CC350C4"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t>Stridor when calm</w:t>
            </w:r>
          </w:p>
        </w:tc>
        <w:tc>
          <w:tcPr>
            <w:tcW w:w="1500" w:type="dxa"/>
            <w:vMerge/>
            <w:tcBorders>
              <w:top w:val="nil"/>
              <w:left w:val="single" w:sz="8" w:space="0" w:color="auto"/>
              <w:bottom w:val="single" w:sz="8" w:space="0" w:color="000000"/>
              <w:right w:val="single" w:sz="8" w:space="0" w:color="auto"/>
            </w:tcBorders>
            <w:vAlign w:val="center"/>
            <w:hideMark/>
          </w:tcPr>
          <w:p w14:paraId="0BFE429A"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p>
        </w:tc>
        <w:tc>
          <w:tcPr>
            <w:tcW w:w="3560" w:type="dxa"/>
            <w:tcBorders>
              <w:top w:val="nil"/>
              <w:left w:val="nil"/>
              <w:bottom w:val="single" w:sz="8" w:space="0" w:color="auto"/>
              <w:right w:val="single" w:sz="8" w:space="0" w:color="auto"/>
            </w:tcBorders>
            <w:shd w:val="clear" w:color="auto" w:fill="auto"/>
            <w:vAlign w:val="center"/>
            <w:hideMark/>
          </w:tcPr>
          <w:p w14:paraId="344DC7CA" w14:textId="77777777" w:rsidR="00A87C5C" w:rsidRPr="00A87C5C" w:rsidRDefault="00A87C5C" w:rsidP="00A87C5C">
            <w:pPr>
              <w:spacing w:after="0" w:line="240" w:lineRule="auto"/>
              <w:ind w:firstLine="0"/>
              <w:contextualSpacing w:val="0"/>
              <w:jc w:val="left"/>
              <w:rPr>
                <w:rFonts w:ascii="Calibri" w:eastAsia="Times New Roman" w:hAnsi="Calibri" w:cs="Calibri"/>
                <w:b/>
                <w:bCs/>
                <w:color w:val="000000"/>
                <w:sz w:val="21"/>
                <w:szCs w:val="21"/>
                <w:lang w:eastAsia="en-GB"/>
              </w:rPr>
            </w:pPr>
            <w:r w:rsidRPr="00A87C5C">
              <w:rPr>
                <w:rFonts w:ascii="Calibri" w:eastAsia="Times New Roman" w:hAnsi="Calibri" w:cs="Calibri"/>
                <w:b/>
                <w:bCs/>
                <w:color w:val="000000"/>
                <w:sz w:val="21"/>
                <w:szCs w:val="21"/>
                <w:lang w:eastAsia="en-GB"/>
              </w:rPr>
              <w:t>Stridor when calm</w:t>
            </w:r>
          </w:p>
        </w:tc>
      </w:tr>
    </w:tbl>
    <w:p w14:paraId="1A27209A" w14:textId="77777777" w:rsidR="0082105D" w:rsidRPr="003A09E6" w:rsidRDefault="0082105D" w:rsidP="0082105D">
      <w:pPr>
        <w:spacing w:line="240" w:lineRule="auto"/>
        <w:ind w:firstLine="0"/>
        <w:jc w:val="left"/>
        <w:rPr>
          <w:sz w:val="19"/>
          <w:szCs w:val="19"/>
        </w:rPr>
      </w:pPr>
      <w:r w:rsidRPr="003A09E6">
        <w:rPr>
          <w:b/>
          <w:sz w:val="19"/>
          <w:szCs w:val="19"/>
        </w:rPr>
        <w:t>*</w:t>
      </w:r>
      <w:r w:rsidRPr="003A09E6">
        <w:rPr>
          <w:sz w:val="19"/>
          <w:szCs w:val="19"/>
        </w:rPr>
        <w:t>In 2014, the WHO updated the guidelines to define lower chest indrawing as a sign of non-severe pneumonia for ages between 2-59 months, where previously was a sign of severe pneumonia. With this change, the clinical definitions of pneumonia has now two stages of disease severity, whereas the original guidelines had three.</w:t>
      </w:r>
    </w:p>
    <w:p w14:paraId="6A1A68EB" w14:textId="77777777" w:rsidR="0082105D" w:rsidRPr="003A09E6" w:rsidRDefault="0082105D" w:rsidP="0082105D">
      <w:pPr>
        <w:spacing w:line="240" w:lineRule="auto"/>
        <w:ind w:firstLine="0"/>
        <w:jc w:val="left"/>
        <w:rPr>
          <w:sz w:val="19"/>
          <w:szCs w:val="19"/>
        </w:rPr>
      </w:pPr>
      <w:r w:rsidRPr="003A09E6">
        <w:rPr>
          <w:sz w:val="19"/>
          <w:szCs w:val="19"/>
        </w:rPr>
        <w:t>Malawi has started using the revised guidelines since February 2018. In the conceptualisation of the model, the new definitions are used.</w:t>
      </w:r>
    </w:p>
    <w:p w14:paraId="1237E953" w14:textId="77777777" w:rsidR="0082105D" w:rsidRPr="003A09E6" w:rsidRDefault="0082105D" w:rsidP="0082105D">
      <w:pPr>
        <w:spacing w:line="240" w:lineRule="auto"/>
        <w:ind w:firstLine="0"/>
        <w:jc w:val="left"/>
        <w:rPr>
          <w:b/>
          <w:sz w:val="19"/>
          <w:szCs w:val="19"/>
        </w:rPr>
      </w:pPr>
      <w:r w:rsidRPr="003A09E6">
        <w:rPr>
          <w:sz w:val="19"/>
          <w:szCs w:val="19"/>
        </w:rPr>
        <w:t>Fast breathing: &lt;2 months – 60 breaths per minute or more; 2 months up to 12 months – 50 breaths per minute or more; 12 months up to 5 years – 40 breaths per minute or more</w:t>
      </w:r>
    </w:p>
    <w:p w14:paraId="05FEC27D" w14:textId="1DD6026B" w:rsidR="0082105D" w:rsidRPr="003A09E6" w:rsidRDefault="0082105D" w:rsidP="0082105D">
      <w:pPr>
        <w:widowControl w:val="0"/>
        <w:autoSpaceDE w:val="0"/>
        <w:autoSpaceDN w:val="0"/>
        <w:adjustRightInd w:val="0"/>
        <w:spacing w:line="240" w:lineRule="auto"/>
        <w:ind w:firstLine="0"/>
        <w:jc w:val="left"/>
        <w:rPr>
          <w:sz w:val="19"/>
          <w:szCs w:val="19"/>
        </w:rPr>
      </w:pPr>
      <w:r w:rsidRPr="003A09E6">
        <w:rPr>
          <w:sz w:val="19"/>
          <w:szCs w:val="19"/>
        </w:rPr>
        <w:t>†Danger signs are any of the following: inability to drink and/or breastfeed, persistent vomiting, lethargy or unconscious, convulsions, and apnoea (if 0–2 months of age) central cyanosis (hospital); severe respiratory distress (hospital)</w:t>
      </w:r>
    </w:p>
    <w:p w14:paraId="27900540" w14:textId="2C431AD9" w:rsidR="0082105D" w:rsidRDefault="0082105D" w:rsidP="00F03A1D">
      <w:pPr>
        <w:spacing w:line="240" w:lineRule="auto"/>
        <w:ind w:firstLine="0"/>
        <w:rPr>
          <w:b/>
          <w:sz w:val="19"/>
          <w:szCs w:val="19"/>
        </w:rPr>
      </w:pPr>
      <w:r w:rsidRPr="003A09E6">
        <w:rPr>
          <w:sz w:val="19"/>
          <w:szCs w:val="19"/>
        </w:rPr>
        <w:t xml:space="preserve">Key clinical symptom defining pneumonia severity in </w:t>
      </w:r>
      <w:r w:rsidR="00F03A1D">
        <w:rPr>
          <w:b/>
          <w:sz w:val="19"/>
          <w:szCs w:val="19"/>
        </w:rPr>
        <w:t>bold.</w:t>
      </w:r>
    </w:p>
    <w:p w14:paraId="2569C12A" w14:textId="77777777" w:rsidR="00F03A1D" w:rsidRPr="00F03A1D" w:rsidRDefault="00F03A1D" w:rsidP="00F03A1D">
      <w:pPr>
        <w:spacing w:line="240" w:lineRule="auto"/>
        <w:ind w:firstLine="0"/>
        <w:rPr>
          <w:b/>
          <w:sz w:val="19"/>
          <w:szCs w:val="19"/>
        </w:rPr>
      </w:pPr>
    </w:p>
    <w:p w14:paraId="2758BF7C" w14:textId="76AB56F3" w:rsidR="00E31097" w:rsidRDefault="002526F2" w:rsidP="00E31097">
      <w:pPr>
        <w:pStyle w:val="Heading3"/>
      </w:pPr>
      <w:bookmarkStart w:id="8" w:name="_Toc64288807"/>
      <w:r>
        <w:t>Conceptualisation of ALRI model structure</w:t>
      </w:r>
      <w:bookmarkEnd w:id="8"/>
    </w:p>
    <w:p w14:paraId="5A5F99E7" w14:textId="77777777" w:rsidR="00C5756E" w:rsidRDefault="003D6D22" w:rsidP="00C5756E">
      <w:r>
        <w:t>The figure below (Figure 1) shows the flow diagram of the natural history of community-acquired ALRIs</w:t>
      </w:r>
      <w:r w:rsidRPr="006D2DBA">
        <w:t xml:space="preserve"> </w:t>
      </w:r>
      <w:r>
        <w:t xml:space="preserve">without input of the healthcare system interventions. </w:t>
      </w:r>
      <w:r w:rsidR="00C5756E">
        <w:t>The model structure proposed here focuses on capturing the most severe manifestations and mortality drivers of lower respiratory tract infections: pneumonia and bronchiolitis in infants.</w:t>
      </w:r>
      <w:r w:rsidR="00C5756E" w:rsidRPr="00871322">
        <w:t xml:space="preserve"> </w:t>
      </w:r>
    </w:p>
    <w:p w14:paraId="64BD8600" w14:textId="13DDC175" w:rsidR="008D436F" w:rsidRDefault="008D436F" w:rsidP="008D436F">
      <w:pPr>
        <w:pStyle w:val="Caption"/>
        <w:keepNext/>
        <w:jc w:val="left"/>
      </w:pPr>
      <w:r>
        <w:t xml:space="preserve">Figure </w:t>
      </w:r>
      <w:r w:rsidR="00E018E1">
        <w:fldChar w:fldCharType="begin"/>
      </w:r>
      <w:r w:rsidR="00E018E1">
        <w:instrText xml:space="preserve"> SEQ Figure \* ARABIC </w:instrText>
      </w:r>
      <w:r w:rsidR="00E018E1">
        <w:fldChar w:fldCharType="separate"/>
      </w:r>
      <w:r w:rsidR="00D83509">
        <w:rPr>
          <w:noProof/>
        </w:rPr>
        <w:t>1</w:t>
      </w:r>
      <w:r w:rsidR="00E018E1">
        <w:rPr>
          <w:noProof/>
        </w:rPr>
        <w:fldChar w:fldCharType="end"/>
      </w:r>
      <w:r>
        <w:t xml:space="preserve"> - </w:t>
      </w:r>
      <w:r w:rsidRPr="001B1B0A">
        <w:t>Schematic diagram of the natural history of community-acquired ALRI</w:t>
      </w:r>
    </w:p>
    <w:p w14:paraId="39ED3C47" w14:textId="77777777" w:rsidR="00E31097" w:rsidRPr="000A4195" w:rsidRDefault="00E31097" w:rsidP="00E31097">
      <w:pPr>
        <w:spacing w:after="160" w:line="259" w:lineRule="auto"/>
        <w:ind w:firstLine="0"/>
        <w:jc w:val="left"/>
        <w:rPr>
          <w:b/>
        </w:rPr>
      </w:pPr>
      <w:r>
        <w:rPr>
          <w:noProof/>
          <w:lang w:eastAsia="en-GB"/>
        </w:rPr>
        <w:drawing>
          <wp:inline distT="0" distB="0" distL="0" distR="0" wp14:anchorId="1EA81F1F" wp14:editId="32BE9EE3">
            <wp:extent cx="6165904" cy="5804352"/>
            <wp:effectExtent l="0" t="0" r="6350" b="6350"/>
            <wp:docPr id="7" name="Picture 7" descr="https://documents.app.lucidchart.com/documents/c916ee26-6836-43a9-9e96-154f59bfee5e/pages/0_0?a=3592&amp;x=48&amp;y=-48&amp;w=1584&amp;h=1490&amp;store=1&amp;accept=image%2F*&amp;auth=LCA%20337b2584450d1c1786ef115c9f0ba41138f227ba-ts%3D159811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app.lucidchart.com/documents/c916ee26-6836-43a9-9e96-154f59bfee5e/pages/0_0?a=3592&amp;x=48&amp;y=-48&amp;w=1584&amp;h=1490&amp;store=1&amp;accept=image%2F*&amp;auth=LCA%20337b2584450d1c1786ef115c9f0ba41138f227ba-ts%3D1598111751"/>
                    <pic:cNvPicPr>
                      <a:picLocks noChangeAspect="1" noChangeArrowheads="1"/>
                    </pic:cNvPicPr>
                  </pic:nvPicPr>
                  <pic:blipFill rotWithShape="1">
                    <a:blip r:embed="rId8">
                      <a:extLst>
                        <a:ext uri="{28A0092B-C50C-407E-A947-70E740481C1C}">
                          <a14:useLocalDpi xmlns:a14="http://schemas.microsoft.com/office/drawing/2010/main" val="0"/>
                        </a:ext>
                      </a:extLst>
                    </a:blip>
                    <a:srcRect l="5337" t="5109" r="5434" b="5544"/>
                    <a:stretch/>
                  </pic:blipFill>
                  <pic:spPr bwMode="auto">
                    <a:xfrm>
                      <a:off x="0" y="0"/>
                      <a:ext cx="6185548" cy="5822844"/>
                    </a:xfrm>
                    <a:prstGeom prst="rect">
                      <a:avLst/>
                    </a:prstGeom>
                    <a:noFill/>
                    <a:ln>
                      <a:noFill/>
                    </a:ln>
                    <a:extLst>
                      <a:ext uri="{53640926-AAD7-44D8-BBD7-CCE9431645EC}">
                        <a14:shadowObscured xmlns:a14="http://schemas.microsoft.com/office/drawing/2010/main"/>
                      </a:ext>
                    </a:extLst>
                  </pic:spPr>
                </pic:pic>
              </a:graphicData>
            </a:graphic>
          </wp:inline>
        </w:drawing>
      </w:r>
    </w:p>
    <w:p w14:paraId="156F3EE7" w14:textId="1574109E" w:rsidR="003D6D22" w:rsidRDefault="003D6D22" w:rsidP="003D6D22">
      <w:pPr>
        <w:pStyle w:val="Heading4"/>
        <w:rPr>
          <w:shd w:val="clear" w:color="auto" w:fill="FFFFFF"/>
        </w:rPr>
      </w:pPr>
      <w:r>
        <w:rPr>
          <w:shd w:val="clear" w:color="auto" w:fill="FFFFFF"/>
        </w:rPr>
        <w:lastRenderedPageBreak/>
        <w:t>Incidence of ALRI and risk factors</w:t>
      </w:r>
    </w:p>
    <w:p w14:paraId="767B9493" w14:textId="10C68DA6" w:rsidR="003D6D22" w:rsidRDefault="003D6D22" w:rsidP="003D6D22">
      <w:pPr>
        <w:rPr>
          <w:color w:val="000000"/>
          <w:shd w:val="clear" w:color="auto" w:fill="FFFFFF"/>
        </w:rPr>
      </w:pPr>
      <w:r>
        <w:rPr>
          <w:shd w:val="clear" w:color="auto" w:fill="FFFFFF"/>
        </w:rPr>
        <w:t>The attributable pathogens are informed by the PERCH study results</w:t>
      </w:r>
      <w:r>
        <w:rPr>
          <w:shd w:val="clear" w:color="auto" w:fill="FFFFFF"/>
        </w:rPr>
        <w:fldChar w:fldCharType="begin" w:fldLock="1"/>
      </w:r>
      <w:r w:rsidR="008C02B1">
        <w:rPr>
          <w:shd w:val="clear" w:color="auto" w:fill="FFFFFF"/>
        </w:rPr>
        <w:instrText>ADDIN CSL_CITATION {"citationItems":[{"id":"ITEM-1","itemData":{"DOI":"10.1016/S0140-6736(19)30721-4","abstract":"Background Pneumonia is the leading cause of death among children younger than 5 years. In this study, we estimated causes of pneumonia in young African and Asian children, using novel analytical methods applied to clinical and microbiological findings.","author":[{"dropping-particle":"","family":"O","given":"Katherine L","non-dropping-particle":"","parse-names":false,"suffix":""},{"dropping-particle":"","family":"Baggett","given":"Henry C","non-dropping-particle":"","parse-names":false,"suffix":""},{"dropping-particle":"","family":"Abdullah Brooks","given":"W","non-dropping-particle":"","parse-names":false,"suffix":""},{"dropping-particle":"","family":"Feikin","given":"Daniel R","non-dropping-particle":"","parse-names":false,"suffix":""},{"dropping-particle":"","family":"Hammitt","given":"Laura L","non-dropping-particle":"","parse-names":false,"suffix":""},{"dropping-particle":"","family":"Higdon","given":"Melissa M","non-dropping-particle":"","parse-names":false,"suffix":""},{"dropping-particle":"","family":"C Howie","given":"Stephen R","non-dropping-particle":"","parse-names":false,"suffix":""},{"dropping-particle":"","family":"Deloria Knoll","given":"Maria","non-dropping-particle":"","parse-names":false,"suffix":""},{"dropping-particle":"","family":"Kotloff","given":"Karen L","non-dropping-particle":"","parse-names":false,"suffix":""},{"dropping-particle":"","family":"Levine","given":"Orin S","non-dropping-particle":"","parse-names":false,"suffix":""},{"dropping-particle":"","family":"Madhi","given":"Shabir A","non-dropping-particle":"","parse-names":false,"suffix":""},{"dropping-particle":"","family":"Murdoch","given":"David R","non-dropping-particle":"","parse-names":false,"suffix":""},{"dropping-particle":"","family":"Prosperi","given":"Christine","non-dropping-particle":"","parse-names":false,"suffix":""},{"dropping-particle":"","family":"Anthony Scott","given":"J G","non-dropping-particle":"","parse-names":false,"suffix":""},{"dropping-particle":"","family":"Shi","given":"Qiyuan","non-dropping-particle":"","parse-names":false,"suffix":""},{"dropping-particle":"","family":"Thea","given":"Donald M","non-dropping-particle":"","parse-names":false,"suffix":""},{"dropping-particle":"","family":"Wu","given":"Zhenke","non-dropping-particle":"","parse-names":false,"suffix":""},{"dropping-particle":"","family":"Zeger","given":"Scott L","non-dropping-particle":"","parse-names":false,"suffix":""},{"dropping-particle":"V","family":"Adrian","given":"Peter","non-dropping-particle":"","parse-names":false,"suffix":""},{"dropping-particle":"","family":"Akarasewi","given":"Pasakorn","non-dropping-particle":"","parse-names":false,"suffix":""},{"dropping-particle":"","family":"Anderson","given":"Trevor P","non-dropping-particle":"","parse-names":false,"suffix":""},{"dropping-particle":"","family":"Antonio","given":"Martin","non-dropping-particle":"","parse-names":false,"suffix":""},{"dropping-particle":"","family":"Awori","given":"Juliet O","non-dropping-particle":"","parse-names":false,"suffix":""},{"dropping-particle":"","family":"Baillie","given":"Vicky L","non-dropping-particle":"","parse-names":false,"suffix":""},{"dropping-particle":"","family":"Bunthi","given":"Charatdao","non-dropping-particle":"","parse-names":false,"suffix":""},{"dropping-particle":"","family":"Chipeta","given":"James","non-dropping-particle":"","parse-names":false,"suffix":""},{"dropping-particle":"","family":"Jobayer Chisti","given":"Mohammod","non-dropping-particle":"","parse-names":false,"suffix":""},{"dropping-particle":"","family":"Crawley","given":"Jane","non-dropping-particle":"","parse-names":false,"suffix":""},{"dropping-particle":"","family":"DeLuca","given":"Andrea N","non-dropping-particle":"","parse-names":false,"suffix":""},{"dropping-particle":"","family":"Driscoll","given":"Amanda J","non-dropping-particle":"","parse-names":false,"suffix":""},{"dropping-particle":"","family":"Ebruke","given":"Bernard E","non-dropping-particle":"","parse-names":false,"suffix":""},{"dropping-particle":"","family":"Endtz","given":"Hubert P","non-dropping-particle":"","parse-names":false,"suffix":""},{"dropping-particle":"","family":"Fancourt","given":"Nicholas","non-dropping-particle":"","parse-names":false,"suffix":""},{"dropping-particle":"","family":"Fu","given":"Wei","non-dropping-particle":"","parse-names":false,"suffix":""},{"dropping-particle":"","family":"Goswami","given":"Doli","non-dropping-particle":"","parse-names":false,"suffix":""},{"dropping-particle":"","family":"Groome","given":"Michelle J","non-dropping-particle":"","parse-names":false,"suffix":""},{"dropping-particle":"","family":"Haddix","given":"Meredith","non-dropping-particle":"","parse-names":false,"suffix":""},{"dropping-particle":"","family":"Hossain","given":"Lokman","non-dropping-particle":"","parse-names":false,"suffix":""},{"dropping-particle":"","family":"Jahan","given":"Yasmin","non-dropping-particle":"","parse-names":false,"suffix":""},{"dropping-particle":"","family":"Wangeci Kagucia","given":"E","non-dropping-particle":"","parse-names":false,"suffix":""},{"dropping-particle":"","family":"Kamau","given":"Alice","non-dropping-particle":"","parse-names":false,"suffix":""},{"dropping-particle":"","family":"Karron","given":"Ruth A","non-dropping-particle":"","parse-names":false,"suffix":""},{"dropping-particle":"","family":"Kazungu","given":"Sidi","non-dropping-particle":"","parse-names":false,"suffix":""},{"dropping-particle":"","family":"Kourouma","given":"Nana","non-dropping-particle":"","parse-names":false,"suffix":""},{"dropping-particle":"","family":"Kuwanda","given":"Locadiah","non-dropping-particle":"","parse-names":false,"suffix":""},{"dropping-particle":"","family":"Kwenda","given":"Geoffrey","non-dropping-particle":"","parse-names":false,"suffix":""},{"dropping-particle":"","family":"Li","given":"Mengying","non-dropping-particle":"","parse-names":false,"suffix":""},{"dropping-particle":"","family":"Machuka","given":"Eunice M","non-dropping-particle":"","parse-names":false,"suffix":""},{"dropping-particle":"","family":"Mackenzie","given":"Grant","non-dropping-particle":"","parse-names":false,"suffix":""},{"dropping-particle":"","family":"Mahomed","given":"Nasreen","non-dropping-particle":"","parse-names":false,"suffix":""},{"dropping-particle":"","family":"Maloney","given":"Susan A","non-dropping-particle":"","parse-names":false,"suffix":""},{"dropping-particle":"","family":"McLellan","given":"Jessica L","non-dropping-particle":"","parse-names":false,"suffix":""},{"dropping-particle":"","family":"Mitchell","given":"Joanne L","non-dropping-particle":"","parse-names":false,"suffix":""},{"dropping-particle":"","family":"Moore","given":"David P","non-dropping-particle":"","parse-names":false,"suffix":""},{"dropping-particle":"","family":"Morpeth","given":"Susan C","non-dropping-particle":"","parse-names":false,"suffix":""},{"dropping-particle":"","family":"Mudau","given":"Azwifarwi","non-dropping-particle":"","parse-names":false,"suffix":""},{"dropping-particle":"","family":"Mwananyanda","given":"Lawrence","non-dropping-particle":"","parse-names":false,"suffix":""},{"dropping-particle":"","family":"Mwansa","given":"James","non-dropping-particle":"","parse-names":false,"suffix":""},{"dropping-particle":"","family":"Silaba Ominde","given":"Micah","non-dropping-particle":"","parse-names":false,"suffix":""},{"dropping-particle":"","family":"Onwuchekwa","given":"Uma","non-dropping-particle":"","parse-names":false,"suffix":""},{"dropping-particle":"","family":"Park","given":"Daniel E","non-dropping-particle":"","parse-names":false,"suffix":""},{"dropping-particle":"","family":"Rhodes","given":"Julia","non-dropping-particle":"","parse-names":false,"suffix":""},{"dropping-particle":"","family":"Sawatwong","given":"Pongpun","non-dropping-particle":"","parse-names":false,"suffix":""},{"dropping-particle":"","family":"Seidenberg","given":"Phil","non-dropping-particle":"","parse-names":false,"suffix":""},{"dropping-particle":"","family":"Shamsul","given":"Arifin","non-dropping-particle":"","parse-names":false,"suffix":""},{"dropping-particle":"","family":"Simões","given":"Eric AF","non-dropping-particle":"","parse-names":false,"suffix":""},{"dropping-particle":"","family":"Sissoko","given":"Seydou","non-dropping-particle":"","parse-names":false,"suffix":""},{"dropping-particle":"","family":"Wa Somwe","given":"Somwe","non-dropping-particle":"","parse-names":false,"suffix":""},{"dropping-particle":"","family":"Sow","given":"Samba O","non-dropping-particle":"","parse-names":false,"suffix":""},{"dropping-particle":"","family":"Sylla","given":"Mamadou","non-dropping-particle":"","parse-names":false,"suffix":""},{"dropping-particle":"","family":"Tamboura","given":"Boubou","non-dropping-particle":"","parse-names":false,"suffix":""},{"dropping-particle":"","family":"Tapia","given":"Milagritos D","non-dropping-particle":"","parse-names":false,"suffix":""},{"dropping-particle":"","family":"Thamthitiwat","given":"Somsak","non-dropping-particle":"","parse-names":false,"suffix":""},{"dropping-particle":"","family":"Toure","given":"Aliou","non-dropping-particle":"","parse-names":false,"suffix":""},{"dropping-particle":"","family":"Watson","given":"Nora L","non-dropping-particle":"","parse-names":false,"suffix":""},{"dropping-particle":"","family":"Zaman","given":"Khalequ","non-dropping-particle":"","parse-names":false,"suffix":""},{"dropping-particle":"","family":"A Zaman","given":"Syed M","non-dropping-particle":"","parse-names":false,"suffix":""},{"dropping-particle":"","family":"Pneumonia Etiology Research for Child Health Study Group","given":"The","non-dropping-particle":"","parse-names":false,"suffix":""}],"id":"ITEM-1","issued":{"date-parts":[["2019"]]},"title":"Articles Causes of severe pneumonia requiring hospital admission in children without HIV infection from Africa and Asia: the PERCH multi-country case-control study","type":"article-journal"},"uris":["http://www.mendeley.com/documents/?uuid=f0fa90d6-d005-3f52-a02f-3e5d68e8a2da"]}],"mendeley":{"formattedCitation":"&lt;sup&gt;10&lt;/sup&gt;","plainTextFormattedCitation":"10","previouslyFormattedCitation":"&lt;sup&gt;9&lt;/sup&gt;"},"properties":{"noteIndex":0},"schema":"https://github.com/citation-style-language/schema/raw/master/csl-citation.json"}</w:instrText>
      </w:r>
      <w:r>
        <w:rPr>
          <w:shd w:val="clear" w:color="auto" w:fill="FFFFFF"/>
        </w:rPr>
        <w:fldChar w:fldCharType="separate"/>
      </w:r>
      <w:r w:rsidR="008C02B1" w:rsidRPr="008C02B1">
        <w:rPr>
          <w:noProof/>
          <w:shd w:val="clear" w:color="auto" w:fill="FFFFFF"/>
          <w:vertAlign w:val="superscript"/>
        </w:rPr>
        <w:t>10</w:t>
      </w:r>
      <w:r>
        <w:rPr>
          <w:shd w:val="clear" w:color="auto" w:fill="FFFFFF"/>
        </w:rPr>
        <w:fldChar w:fldCharType="end"/>
      </w:r>
      <w:r>
        <w:rPr>
          <w:shd w:val="clear" w:color="auto" w:fill="FFFFFF"/>
        </w:rPr>
        <w:t xml:space="preserve">. The </w:t>
      </w:r>
      <w:r w:rsidR="002526F2">
        <w:t xml:space="preserve">aetiology is age-specific – </w:t>
      </w:r>
      <w:r>
        <w:t>the overall incidence of acute respiratory infections is highest in early childhood and decreases gradually with age</w:t>
      </w:r>
      <w:r>
        <w:fldChar w:fldCharType="begin" w:fldLock="1"/>
      </w:r>
      <w:r w:rsidR="008C02B1">
        <w:instrText>ADDIN CSL_CITATION {"citationItems":[{"id":"ITEM-1","itemData":{"DOI":"10.1016/S0140-6736(13)60222-6","ISSN":"1474-547X","PMID":"23582727","abstract":"Diarrhoea and pneumonia are the leading infectious causes of childhood morbidity and mortality. We comprehensively reviewed the epidemiology of childhood diarrhoea and pneumonia in 2010-11 to inform the planning of integrated control programmes for both illnesses. We estimated that, in 2010, there were 1·731 billion episodes of diarrhoea (36 million of which progressed to severe episodes) and 120 million episodes of pneumonia (14 million of which progressed to severe episodes) in children younger than 5 years. We estimated that, in 2011, 700,000 episodes of diarrhoea and 1·3 million of pneumonia led to death. A high proportion of deaths occurs in the first 2 years of life in both diseases--72% for diarrhoea and 81% for pneumonia. The epidemiology of childhood diarrhoea and that of pneumonia overlap, which might be partly because of shared risk factors, such as undernutrition, suboptimum breastfeeding, and zinc deficiency. Rotavirus is the most common cause of vaccine-preventable severe diarrhoea (associated with 28% of cases), and Streptococcus pneumoniae (18·3%) of vaccine-preventable severe pneumonia. Morbidity and mortality from childhood pneumonia and diarrhoea are falling, but action is needed globally and at country level to accelerate the reduction.","author":[{"dropping-particle":"","family":"Walker","given":"Christa L Fischer","non-dropping-particle":"","parse-names":false,"suffix":""},{"dropping-particle":"","family":"Rudan","given":"Igor","non-dropping-particle":"","parse-names":false,"suffix":""},{"dropping-particle":"","family":"Liu","given":"Li","non-dropping-particle":"","parse-names":false,"suffix":""},{"dropping-particle":"","family":"Nair","given":"Harish","non-dropping-particle":"","parse-names":false,"suffix":""},{"dropping-particle":"","family":"Theodoratou","given":"Evropi","non-dropping-particle":"","parse-names":false,"suffix":""},{"dropping-particle":"","family":"Bhutta","given":"Zulfiqar A","non-dropping-particle":"","parse-names":false,"suffix":""},{"dropping-particle":"","family":"O'Brien","given":"Katherine L","non-dropping-particle":"","parse-names":false,"suffix":""},{"dropping-particle":"","family":"Campbell","given":"Harry","non-dropping-particle":"","parse-names":false,"suffix":""},{"dropping-particle":"","family":"Black","given":"Robert E","non-dropping-particle":"","parse-names":false,"suffix":""}],"container-title":"Lancet (London, England)","id":"ITEM-1","issue":"9875","issued":{"date-parts":[["2013","4","20"]]},"page":"1405-1416","title":"Global burden of childhood pneumonia and diarrhoea.","type":"article-journal","volume":"381"},"uris":["http://www.mendeley.com/documents/?uuid=4b3b908c-14ef-3518-bae1-c10faa7bfc50"]}],"mendeley":{"formattedCitation":"&lt;sup&gt;11&lt;/sup&gt;","plainTextFormattedCitation":"11","previouslyFormattedCitation":"&lt;sup&gt;10&lt;/sup&gt;"},"properties":{"noteIndex":0},"schema":"https://github.com/citation-style-language/schema/raw/master/csl-citation.json"}</w:instrText>
      </w:r>
      <w:r>
        <w:fldChar w:fldCharType="separate"/>
      </w:r>
      <w:r w:rsidR="008C02B1" w:rsidRPr="008C02B1">
        <w:rPr>
          <w:noProof/>
          <w:vertAlign w:val="superscript"/>
        </w:rPr>
        <w:t>11</w:t>
      </w:r>
      <w:r>
        <w:fldChar w:fldCharType="end"/>
      </w:r>
      <w:r>
        <w:t xml:space="preserve">, which reflects the pattern of exposure to infection, and the development of the child’s immunity. </w:t>
      </w:r>
      <w:r>
        <w:rPr>
          <w:shd w:val="clear" w:color="auto" w:fill="FFFFFF"/>
        </w:rPr>
        <w:t xml:space="preserve">The development and localization of disease in the lower respiratory tract depends on a complex interaction between the pathogen, the host, and environmental factors. </w:t>
      </w:r>
      <w:r>
        <w:t xml:space="preserve">The incidence of ALRI disease is associated with host-related risk factors, such as, low birth weight, undernutrition – </w:t>
      </w:r>
      <w:r>
        <w:rPr>
          <w:color w:val="000000"/>
          <w:shd w:val="clear" w:color="auto" w:fill="FFFFFF"/>
        </w:rPr>
        <w:t xml:space="preserve">weight-for-age less than 2 standard deviations, and HIV infection </w:t>
      </w:r>
      <w:r>
        <w:t>and external/environment-related factors, such as, lack of exclusive breastfeeding, household crowding – more than 7 persons per household, exposure to indoor air pollution, and incomplete immunization</w:t>
      </w:r>
      <w:r>
        <w:rPr>
          <w:color w:val="000000"/>
          <w:shd w:val="clear" w:color="auto" w:fill="FFFFFF"/>
        </w:rPr>
        <w:fldChar w:fldCharType="begin" w:fldLock="1"/>
      </w:r>
      <w:r w:rsidR="008C02B1">
        <w:rPr>
          <w:color w:val="000000"/>
          <w:shd w:val="clear" w:color="auto" w:fill="FFFFFF"/>
        </w:rPr>
        <w:instrText>ADDIN CSL_CITATION {"citationItems":[{"id":"ITEM-1","itemData":{"DOI":"10.3325/cmj.2013.54.110","ISSN":"03539504","PMID":"23630139","abstract":"Aim: To identify the risk factors in children under five years of age for severe acute lower respiratory infections (ALRI), which are the leading cause of child mortality. Methods: We performed a systematic review of published literature available in the public domain. We conducted a quality assessment of all eligible studies according to GRADE criteria and performed a meta-analysis to report the odds ratios for all risk factors identified in these studies. Results: We identified 36 studies that investigated 19 risk factors for severe ALRI. Of these, 7 risk factors were significantly associated with severe ALRI in a consistent manner across studies, with the following meta-analysis estimates of odds ratios (with 95% confidence intervals): low birth weight 3.18 (1.02-9.90), lack of exclusive breastfeeding 2.34 (1.42-3.88), crowding - more than 7 persons per household 1.96 (1.53-2.52), exposure to indoor air pollution 1.57 (1.06-2.31), incomplete immunization 1.83 (1.32-2.52), undernutrition - weight-for-age less than 2 standard deviations 4.47 (2.10-9.49), and HIV infection 4.15 (2.57-9.74). Conclusion: This study highlights the role of the above seven risk factors in the development of severe pneumonia in under-five children. In addition, it emphasizes the need for further studies investigating other potential risk factors. Since these risk factors are potentially preventable, health policies targeted at reducing their prevalence provide a basis for decreasing the burden of childhood pneumonia.","author":[{"dropping-particle":"","family":"Jackson","given":"Stewart","non-dropping-particle":"","parse-names":false,"suffix":""},{"dropping-particle":"","family":"Mathews","given":"Kyle H.","non-dropping-particle":"","parse-names":false,"suffix":""},{"dropping-particle":"","family":"Pulanić","given":"Dražen","non-dropping-particle":"","parse-names":false,"suffix":""},{"dropping-particle":"","family":"Falconer","given":"Rachel","non-dropping-particle":"","parse-names":false,"suffix":""},{"dropping-particle":"","family":"Rudan","given":"Igor","non-dropping-particle":"","parse-names":false,"suffix":""},{"dropping-particle":"","family":"Campbell","given":"Harry","non-dropping-particle":"","parse-names":false,"suffix":""},{"dropping-particle":"","family":"Nair","given":"Harish","non-dropping-particle":"","parse-names":false,"suffix":""}],"container-title":"Croatian Medical Journal","id":"ITEM-1","issue":"2","issued":{"date-parts":[["2013","4"]]},"page":"110-121","publisher":"Medicinska Naklada","title":"Risk factors for severe acute lower respiratory infections in children - a systematic review and meta-analysis","type":"article-journal","volume":"54"},"uris":["http://www.mendeley.com/documents/?uuid=e9898bdf-64b1-31de-a845-8a0286ac425f"]}],"mendeley":{"formattedCitation":"&lt;sup&gt;12&lt;/sup&gt;","plainTextFormattedCitation":"12","previouslyFormattedCitation":"&lt;sup&gt;11&lt;/sup&gt;"},"properties":{"noteIndex":0},"schema":"https://github.com/citation-style-language/schema/raw/master/csl-citation.json"}</w:instrText>
      </w:r>
      <w:r>
        <w:rPr>
          <w:color w:val="000000"/>
          <w:shd w:val="clear" w:color="auto" w:fill="FFFFFF"/>
        </w:rPr>
        <w:fldChar w:fldCharType="separate"/>
      </w:r>
      <w:r w:rsidR="008C02B1" w:rsidRPr="008C02B1">
        <w:rPr>
          <w:noProof/>
          <w:color w:val="000000"/>
          <w:shd w:val="clear" w:color="auto" w:fill="FFFFFF"/>
          <w:vertAlign w:val="superscript"/>
        </w:rPr>
        <w:t>12</w:t>
      </w:r>
      <w:r>
        <w:rPr>
          <w:color w:val="000000"/>
          <w:shd w:val="clear" w:color="auto" w:fill="FFFFFF"/>
        </w:rPr>
        <w:fldChar w:fldCharType="end"/>
      </w:r>
      <w:r>
        <w:rPr>
          <w:color w:val="000000"/>
          <w:shd w:val="clear" w:color="auto" w:fill="FFFFFF"/>
        </w:rPr>
        <w:t>.</w:t>
      </w:r>
    </w:p>
    <w:p w14:paraId="703D47A4" w14:textId="77777777" w:rsidR="006B3B1C" w:rsidRPr="00356B88" w:rsidRDefault="006B3B1C" w:rsidP="006B3B1C">
      <w:pPr>
        <w:rPr>
          <w:color w:val="000000"/>
          <w:shd w:val="clear" w:color="auto" w:fill="FFFFFF"/>
        </w:rPr>
      </w:pPr>
      <w:r>
        <w:rPr>
          <w:shd w:val="clear" w:color="auto" w:fill="FFFFFF"/>
        </w:rPr>
        <w:t xml:space="preserve">In any community-based study on pneumonia incidence, the measured entity is not pneumonia itself but rather the incidence of children who fulfil the case definition of childhood pneumonia. </w:t>
      </w:r>
      <w:r>
        <w:t xml:space="preserve">Using the WHO’s case definition of pneumonia greatly overestimates the incidence of pneumonia. Nevertheless, it </w:t>
      </w:r>
      <w:r w:rsidRPr="009D0864">
        <w:t xml:space="preserve">was designed to ensure early use of antibiotics in resource-limited countries to have an impact on the high levels of mortality. </w:t>
      </w:r>
      <w:r>
        <w:t>With such model design, I attempt to capture the underlying ALRI condition that require antibiotics (those with bacterial aetiology, as primary or secondary cause, and with severe disease that may require preventive antibiotic administration) and those that do not require (viral aetiology only, non-severe).</w:t>
      </w:r>
    </w:p>
    <w:p w14:paraId="7F0B62D4" w14:textId="402F932F" w:rsidR="00E01721" w:rsidRDefault="006B3B1C" w:rsidP="00E01721">
      <w:r>
        <w:t>In the estimation of ALRI incidence by pathogen by age group, there are two steps:</w:t>
      </w:r>
      <w:r w:rsidR="00F03A1D">
        <w:t xml:space="preserve"> </w:t>
      </w:r>
      <w:r>
        <w:t>1</w:t>
      </w:r>
      <w:r w:rsidRPr="006B3B1C">
        <w:rPr>
          <w:vertAlign w:val="superscript"/>
        </w:rPr>
        <w:t>st</w:t>
      </w:r>
      <w:r>
        <w:t xml:space="preserve"> – For each age group [1-11, 12-23, 24-59 months], I determine the incidence of pneumonia by each pathogen and the incidence of bronchiolitis by each pathogen (for &lt;2 years of age). </w:t>
      </w:r>
      <w:r w:rsidR="00E01721">
        <w:t>2</w:t>
      </w:r>
      <w:r w:rsidR="00E01721" w:rsidRPr="00E01721">
        <w:rPr>
          <w:vertAlign w:val="superscript"/>
        </w:rPr>
        <w:t>nd</w:t>
      </w:r>
      <w:r w:rsidR="00E01721">
        <w:t xml:space="preserve"> – </w:t>
      </w:r>
      <w:r>
        <w:t>Then, the two disease incidences for each pathogen are added together, which will be the estimate for the incidence of ALRI by pathogen.</w:t>
      </w:r>
      <w:r w:rsidRPr="006B3B1C">
        <w:t xml:space="preserve"> </w:t>
      </w:r>
    </w:p>
    <w:p w14:paraId="4A8E12F1" w14:textId="3849F65C" w:rsidR="00F03A1D" w:rsidRDefault="00E01721" w:rsidP="00F03A1D">
      <w:r>
        <w:t xml:space="preserve">The key study used in informing the parameters of ALRI model is the Pneumonia Etiology Research for Child Health (PERCH) </w:t>
      </w:r>
      <w:r w:rsidR="00F03A1D">
        <w:t xml:space="preserve">hospital-based </w:t>
      </w:r>
      <w:r>
        <w:t>case-control study. Its results inform the model about the infective agents causing of severe and very severe pneumonia (WHO 2005 definitions) among children aged 1-59 months. Among those with clinical severe and very severe pneumonia that fulfilled the study’s inclusion criteria, 41.8% were confirmed diagnosis with abnormal chest x-ray scans (CXR). The pathogen attributable fractions (AFs) for CXR+ results were estimated using a Bayesian, partial latent class analysis to estimate probabilities of aetiological agents at the individual and population level, incorporating case and control data</w:t>
      </w:r>
      <w:r>
        <w:fldChar w:fldCharType="begin" w:fldLock="1"/>
      </w:r>
      <w:r w:rsidR="008C02B1">
        <w:instrText>ADDIN CSL_CITATION {"citationItems":[{"id":"ITEM-1","itemData":{"DOI":"10.1016/S0140-6736(19)30721-4","abstract":"Background Pneumonia is the leading cause of death among children younger than 5 years. In this study, we estimated causes of pneumonia in young African and Asian children, using novel analytical methods applied to clinical and microbiological findings.","author":[{"dropping-particle":"","family":"O","given":"Katherine L","non-dropping-particle":"","parse-names":false,"suffix":""},{"dropping-particle":"","family":"Baggett","given":"Henry C","non-dropping-particle":"","parse-names":false,"suffix":""},{"dropping-particle":"","family":"Abdullah Brooks","given":"W","non-dropping-particle":"","parse-names":false,"suffix":""},{"dropping-particle":"","family":"Feikin","given":"Daniel R","non-dropping-particle":"","parse-names":false,"suffix":""},{"dropping-particle":"","family":"Hammitt","given":"Laura L","non-dropping-particle":"","parse-names":false,"suffix":""},{"dropping-particle":"","family":"Higdon","given":"Melissa M","non-dropping-particle":"","parse-names":false,"suffix":""},{"dropping-particle":"","family":"C Howie","given":"Stephen R","non-dropping-particle":"","parse-names":false,"suffix":""},{"dropping-particle":"","family":"Deloria Knoll","given":"Maria","non-dropping-particle":"","parse-names":false,"suffix":""},{"dropping-particle":"","family":"Kotloff","given":"Karen L","non-dropping-particle":"","parse-names":false,"suffix":""},{"dropping-particle":"","family":"Levine","given":"Orin S","non-dropping-particle":"","parse-names":false,"suffix":""},{"dropping-particle":"","family":"Madhi","given":"Shabir A","non-dropping-particle":"","parse-names":false,"suffix":""},{"dropping-particle":"","family":"Murdoch","given":"David R","non-dropping-particle":"","parse-names":false,"suffix":""},{"dropping-particle":"","family":"Prosperi","given":"Christine","non-dropping-particle":"","parse-names":false,"suffix":""},{"dropping-particle":"","family":"Anthony Scott","given":"J G","non-dropping-particle":"","parse-names":false,"suffix":""},{"dropping-particle":"","family":"Shi","given":"Qiyuan","non-dropping-particle":"","parse-names":false,"suffix":""},{"dropping-particle":"","family":"Thea","given":"Donald M","non-dropping-particle":"","parse-names":false,"suffix":""},{"dropping-particle":"","family":"Wu","given":"Zhenke","non-dropping-particle":"","parse-names":false,"suffix":""},{"dropping-particle":"","family":"Zeger","given":"Scott L","non-dropping-particle":"","parse-names":false,"suffix":""},{"dropping-particle":"V","family":"Adrian","given":"Peter","non-dropping-particle":"","parse-names":false,"suffix":""},{"dropping-particle":"","family":"Akarasewi","given":"Pasakorn","non-dropping-particle":"","parse-names":false,"suffix":""},{"dropping-particle":"","family":"Anderson","given":"Trevor P","non-dropping-particle":"","parse-names":false,"suffix":""},{"dropping-particle":"","family":"Antonio","given":"Martin","non-dropping-particle":"","parse-names":false,"suffix":""},{"dropping-particle":"","family":"Awori","given":"Juliet O","non-dropping-particle":"","parse-names":false,"suffix":""},{"dropping-particle":"","family":"Baillie","given":"Vicky L","non-dropping-particle":"","parse-names":false,"suffix":""},{"dropping-particle":"","family":"Bunthi","given":"Charatdao","non-dropping-particle":"","parse-names":false,"suffix":""},{"dropping-particle":"","family":"Chipeta","given":"James","non-dropping-particle":"","parse-names":false,"suffix":""},{"dropping-particle":"","family":"Jobayer Chisti","given":"Mohammod","non-dropping-particle":"","parse-names":false,"suffix":""},{"dropping-particle":"","family":"Crawley","given":"Jane","non-dropping-particle":"","parse-names":false,"suffix":""},{"dropping-particle":"","family":"DeLuca","given":"Andrea N","non-dropping-particle":"","parse-names":false,"suffix":""},{"dropping-particle":"","family":"Driscoll","given":"Amanda J","non-dropping-particle":"","parse-names":false,"suffix":""},{"dropping-particle":"","family":"Ebruke","given":"Bernard E","non-dropping-particle":"","parse-names":false,"suffix":""},{"dropping-particle":"","family":"Endtz","given":"Hubert P","non-dropping-particle":"","parse-names":false,"suffix":""},{"dropping-particle":"","family":"Fancourt","given":"Nicholas","non-dropping-particle":"","parse-names":false,"suffix":""},{"dropping-particle":"","family":"Fu","given":"Wei","non-dropping-particle":"","parse-names":false,"suffix":""},{"dropping-particle":"","family":"Goswami","given":"Doli","non-dropping-particle":"","parse-names":false,"suffix":""},{"dropping-particle":"","family":"Groome","given":"Michelle J","non-dropping-particle":"","parse-names":false,"suffix":""},{"dropping-particle":"","family":"Haddix","given":"Meredith","non-dropping-particle":"","parse-names":false,"suffix":""},{"dropping-particle":"","family":"Hossain","given":"Lokman","non-dropping-particle":"","parse-names":false,"suffix":""},{"dropping-particle":"","family":"Jahan","given":"Yasmin","non-dropping-particle":"","parse-names":false,"suffix":""},{"dropping-particle":"","family":"Wangeci Kagucia","given":"E","non-dropping-particle":"","parse-names":false,"suffix":""},{"dropping-particle":"","family":"Kamau","given":"Alice","non-dropping-particle":"","parse-names":false,"suffix":""},{"dropping-particle":"","family":"Karron","given":"Ruth A","non-dropping-particle":"","parse-names":false,"suffix":""},{"dropping-particle":"","family":"Kazungu","given":"Sidi","non-dropping-particle":"","parse-names":false,"suffix":""},{"dropping-particle":"","family":"Kourouma","given":"Nana","non-dropping-particle":"","parse-names":false,"suffix":""},{"dropping-particle":"","family":"Kuwanda","given":"Locadiah","non-dropping-particle":"","parse-names":false,"suffix":""},{"dropping-particle":"","family":"Kwenda","given":"Geoffrey","non-dropping-particle":"","parse-names":false,"suffix":""},{"dropping-particle":"","family":"Li","given":"Mengying","non-dropping-particle":"","parse-names":false,"suffix":""},{"dropping-particle":"","family":"Machuka","given":"Eunice M","non-dropping-particle":"","parse-names":false,"suffix":""},{"dropping-particle":"","family":"Mackenzie","given":"Grant","non-dropping-particle":"","parse-names":false,"suffix":""},{"dropping-particle":"","family":"Mahomed","given":"Nasreen","non-dropping-particle":"","parse-names":false,"suffix":""},{"dropping-particle":"","family":"Maloney","given":"Susan A","non-dropping-particle":"","parse-names":false,"suffix":""},{"dropping-particle":"","family":"McLellan","given":"Jessica L","non-dropping-particle":"","parse-names":false,"suffix":""},{"dropping-particle":"","family":"Mitchell","given":"Joanne L","non-dropping-particle":"","parse-names":false,"suffix":""},{"dropping-particle":"","family":"Moore","given":"David P","non-dropping-particle":"","parse-names":false,"suffix":""},{"dropping-particle":"","family":"Morpeth","given":"Susan C","non-dropping-particle":"","parse-names":false,"suffix":""},{"dropping-particle":"","family":"Mudau","given":"Azwifarwi","non-dropping-particle":"","parse-names":false,"suffix":""},{"dropping-particle":"","family":"Mwananyanda","given":"Lawrence","non-dropping-particle":"","parse-names":false,"suffix":""},{"dropping-particle":"","family":"Mwansa","given":"James","non-dropping-particle":"","parse-names":false,"suffix":""},{"dropping-particle":"","family":"Silaba Ominde","given":"Micah","non-dropping-particle":"","parse-names":false,"suffix":""},{"dropping-particle":"","family":"Onwuchekwa","given":"Uma","non-dropping-particle":"","parse-names":false,"suffix":""},{"dropping-particle":"","family":"Park","given":"Daniel E","non-dropping-particle":"","parse-names":false,"suffix":""},{"dropping-particle":"","family":"Rhodes","given":"Julia","non-dropping-particle":"","parse-names":false,"suffix":""},{"dropping-particle":"","family":"Sawatwong","given":"Pongpun","non-dropping-particle":"","parse-names":false,"suffix":""},{"dropping-particle":"","family":"Seidenberg","given":"Phil","non-dropping-particle":"","parse-names":false,"suffix":""},{"dropping-particle":"","family":"Shamsul","given":"Arifin","non-dropping-particle":"","parse-names":false,"suffix":""},{"dropping-particle":"","family":"Simões","given":"Eric AF","non-dropping-particle":"","parse-names":false,"suffix":""},{"dropping-particle":"","family":"Sissoko","given":"Seydou","non-dropping-particle":"","parse-names":false,"suffix":""},{"dropping-particle":"","family":"Wa Somwe","given":"Somwe","non-dropping-particle":"","parse-names":false,"suffix":""},{"dropping-particle":"","family":"Sow","given":"Samba O","non-dropping-particle":"","parse-names":false,"suffix":""},{"dropping-particle":"","family":"Sylla","given":"Mamadou","non-dropping-particle":"","parse-names":false,"suffix":""},{"dropping-particle":"","family":"Tamboura","given":"Boubou","non-dropping-particle":"","parse-names":false,"suffix":""},{"dropping-particle":"","family":"Tapia","given":"Milagritos D","non-dropping-particle":"","parse-names":false,"suffix":""},{"dropping-particle":"","family":"Thamthitiwat","given":"Somsak","non-dropping-particle":"","parse-names":false,"suffix":""},{"dropping-particle":"","family":"Toure","given":"Aliou","non-dropping-particle":"","parse-names":false,"suffix":""},{"dropping-particle":"","family":"Watson","given":"Nora L","non-dropping-particle":"","parse-names":false,"suffix":""},{"dropping-particle":"","family":"Zaman","given":"Khalequ","non-dropping-particle":"","parse-names":false,"suffix":""},{"dropping-particle":"","family":"A Zaman","given":"Syed M","non-dropping-particle":"","parse-names":false,"suffix":""},{"dropping-particle":"","family":"Pneumonia Etiology Research for Child Health Study Group","given":"The","non-dropping-particle":"","parse-names":false,"suffix":""}],"id":"ITEM-1","issued":{"date-parts":[["2019"]]},"title":"Articles Causes of severe pneumonia requiring hospital admission in children without HIV infection from Africa and Asia: the PERCH multi-country case-control study","type":"article-journal"},"uris":["http://www.mendeley.com/documents/?uuid=f0fa90d6-d005-3f52-a02f-3e5d68e8a2da"]}],"mendeley":{"formattedCitation":"&lt;sup&gt;10&lt;/sup&gt;","plainTextFormattedCitation":"10","previouslyFormattedCitation":"&lt;sup&gt;9&lt;/sup&gt;"},"properties":{"noteIndex":0},"schema":"https://github.com/citation-style-language/schema/raw/master/csl-citation.json"}</w:instrText>
      </w:r>
      <w:r>
        <w:fldChar w:fldCharType="separate"/>
      </w:r>
      <w:r w:rsidR="008C02B1" w:rsidRPr="008C02B1">
        <w:rPr>
          <w:noProof/>
          <w:vertAlign w:val="superscript"/>
        </w:rPr>
        <w:t>10</w:t>
      </w:r>
      <w:r>
        <w:fldChar w:fldCharType="end"/>
      </w:r>
      <w:r>
        <w:t>. The top 10 pathogens were added in the model.</w:t>
      </w:r>
      <w:r w:rsidRPr="00215BA9">
        <w:t xml:space="preserve"> </w:t>
      </w:r>
      <w:r>
        <w:t>However, the parameter values for the attributable pathogens is only referenced for severe and very severe pneumonia states (WHO 2005 definitions), thus non-severe/ fast-breathing pneumonia were not calculated for. This should be a minor issue, as most cases that fall under that classification are not ‘true’ pneumonia (expert opinion of Eric McCollum). Thus, I will assume the pathogens determined for chest indrawing-pneumonia apply for</w:t>
      </w:r>
      <w:r w:rsidR="00F03A1D">
        <w:t xml:space="preserve"> the fast-breathing pneumonia.</w:t>
      </w:r>
    </w:p>
    <w:p w14:paraId="06476C08" w14:textId="0FB40146" w:rsidR="003D0F9C" w:rsidRDefault="00E01721" w:rsidP="00F03A1D">
      <w:r>
        <w:t xml:space="preserve">To calculate the WHO-pneumonia incidence, I have used McCollum ED et al. 2017 observational </w:t>
      </w:r>
      <w:r w:rsidR="003D0F9C">
        <w:t>study</w:t>
      </w:r>
      <w:r w:rsidR="003D0F9C">
        <w:fldChar w:fldCharType="begin" w:fldLock="1"/>
      </w:r>
      <w:r w:rsidR="008C02B1">
        <w:instrText>ADDIN CSL_CITATION {"citationItems":[{"id":"ITEM-1","itemData":{"DOI":"10.1371/journal.pone.0168209","ISSN":"1932-6203","author":[{"dropping-particle":"","family":"McCollum","given":"Eric D.","non-dropping-particle":"","parse-names":false,"suffix":""},{"dropping-particle":"","family":"Nambiar","given":"Bejoy","non-dropping-particle":"","parse-names":false,"suffix":""},{"dropping-particle":"","family":"Deula","given":"Rashid","non-dropping-particle":"","parse-names":false,"suffix":""},{"dropping-particle":"","family":"Zadutsa","given":"Beatiwel","non-dropping-particle":"","parse-names":false,"suffix":""},{"dropping-particle":"","family":"Bondo","given":"Austin","non-dropping-particle":"","parse-names":false,"suffix":""},{"dropping-particle":"","family":"King","given":"Carina","non-dropping-particle":"","parse-names":false,"suffix":""},{"dropping-particle":"","family":"Beard","given":"James","non-dropping-particle":"","parse-names":false,"suffix":""},{"dropping-particle":"","family":"Liyaya","given":"Harry","non-dropping-particle":"","parse-names":false,"suffix":""},{"dropping-particle":"","family":"Mankhambo","given":"Limangeni","non-dropping-particle":"","parse-names":false,"suffix":""},{"dropping-particle":"","family":"Lazzerini","given":"Marzia","non-dropping-particle":"","parse-names":false,"suffix":""},{"dropping-particle":"","family":"Makwenda","given":"Charles","non-dropping-particle":"","parse-names":false,"suffix":""},{"dropping-particle":"","family":"Masache","given":"Gibson","non-dropping-particle":"","parse-names":false,"suffix":""},{"dropping-particle":"","family":"Bar-Zeev","given":"Naor","non-dropping-particle":"","parse-names":false,"suffix":""},{"dropping-particle":"","family":"Kazembe","given":"Peter N.","non-dropping-particle":"","parse-names":false,"suffix":""},{"dropping-particle":"","family":"Mwansambo","given":"Charles","non-dropping-particle":"","parse-names":false,"suffix":""},{"dropping-particle":"","family":"Lufesi","given":"Norman","non-dropping-particle":"","parse-names":false,"suffix":""},{"dropping-particle":"","family":"Costello","given":"Anthony","non-dropping-particle":"","parse-names":false,"suffix":""},{"dropping-particle":"","family":"Armstrong","given":"Ben","non-dropping-particle":"","parse-names":false,"suffix":""},{"dropping-particle":"","family":"Colbourn","given":"Tim","non-dropping-particle":"","parse-names":false,"suffix":""}],"container-title":"PLOS ONE","editor":[{"dropping-particle":"","family":"Borrow","given":"Ray","non-dropping-particle":"","parse-names":false,"suffix":""}],"id":"ITEM-1","issue":"1","issued":{"date-parts":[["2017","1","4"]]},"page":"e0168209","title":"Impact of the 13-Valent Pneumococcal Conjugate Vaccine on Clinical and Hypoxemic Childhood Pneumonia over Three Years in Central Malawi: An Observational Study","type":"article-journal","volume":"12"},"uris":["http://www.mendeley.com/documents/?uuid=45c6ef97-469d-3f83-9daa-656a59be8caa"]}],"mendeley":{"formattedCitation":"&lt;sup&gt;13&lt;/sup&gt;","plainTextFormattedCitation":"13","previouslyFormattedCitation":"&lt;sup&gt;12&lt;/sup&gt;"},"properties":{"noteIndex":0},"schema":"https://github.com/citation-style-language/schema/raw/master/csl-citation.json"}</w:instrText>
      </w:r>
      <w:r w:rsidR="003D0F9C">
        <w:fldChar w:fldCharType="separate"/>
      </w:r>
      <w:r w:rsidR="008C02B1" w:rsidRPr="008C02B1">
        <w:rPr>
          <w:noProof/>
          <w:vertAlign w:val="superscript"/>
        </w:rPr>
        <w:t>13</w:t>
      </w:r>
      <w:r w:rsidR="003D0F9C">
        <w:fldChar w:fldCharType="end"/>
      </w:r>
      <w:r w:rsidR="003D0F9C">
        <w:t xml:space="preserve"> dat</w:t>
      </w:r>
      <w:r>
        <w:t>a: cases from hospitals health centres and community health workers in two districts in Malawi with dates of admission between January and June 2012 were included, as during this period, the PCV13 vaccination coverage was less than 50%</w:t>
      </w:r>
      <w:r w:rsidR="003D0F9C">
        <w:fldChar w:fldCharType="begin" w:fldLock="1"/>
      </w:r>
      <w:r w:rsidR="008C02B1">
        <w:instrText>ADDIN CSL_CITATION {"citationItems":[{"id":"ITEM-1","itemData":{"DOI":"10.1371/journal.pone.0168209","ISSN":"1932-6203","author":[{"dropping-particle":"","family":"McCollum","given":"Eric D.","non-dropping-particle":"","parse-names":false,"suffix":""},{"dropping-particle":"","family":"Nambiar","given":"Bejoy","non-dropping-particle":"","parse-names":false,"suffix":""},{"dropping-particle":"","family":"Deula","given":"Rashid","non-dropping-particle":"","parse-names":false,"suffix":""},{"dropping-particle":"","family":"Zadutsa","given":"Beatiwel","non-dropping-particle":"","parse-names":false,"suffix":""},{"dropping-particle":"","family":"Bondo","given":"Austin","non-dropping-particle":"","parse-names":false,"suffix":""},{"dropping-particle":"","family":"King","given":"Carina","non-dropping-particle":"","parse-names":false,"suffix":""},{"dropping-particle":"","family":"Beard","given":"James","non-dropping-particle":"","parse-names":false,"suffix":""},{"dropping-particle":"","family":"Liyaya","given":"Harry","non-dropping-particle":"","parse-names":false,"suffix":""},{"dropping-particle":"","family":"Mankhambo","given":"Limangeni","non-dropping-particle":"","parse-names":false,"suffix":""},{"dropping-particle":"","family":"Lazzerini","given":"Marzia","non-dropping-particle":"","parse-names":false,"suffix":""},{"dropping-particle":"","family":"Makwenda","given":"Charles","non-dropping-particle":"","parse-names":false,"suffix":""},{"dropping-particle":"","family":"Masache","given":"Gibson","non-dropping-particle":"","parse-names":false,"suffix":""},{"dropping-particle":"","family":"Bar-Zeev","given":"Naor","non-dropping-particle":"","parse-names":false,"suffix":""},{"dropping-particle":"","family":"Kazembe","given":"Peter N.","non-dropping-particle":"","parse-names":false,"suffix":""},{"dropping-particle":"","family":"Mwansambo","given":"Charles","non-dropping-particle":"","parse-names":false,"suffix":""},{"dropping-particle":"","family":"Lufesi","given":"Norman","non-dropping-particle":"","parse-names":false,"suffix":""},{"dropping-particle":"","family":"Costello","given":"Anthony","non-dropping-particle":"","parse-names":false,"suffix":""},{"dropping-particle":"","family":"Armstrong","given":"Ben","non-dropping-particle":"","parse-names":false,"suffix":""},{"dropping-particle":"","family":"Colbourn","given":"Tim","non-dropping-particle":"","parse-names":false,"suffix":""}],"container-title":"PLOS ONE","editor":[{"dropping-particle":"","family":"Borrow","given":"Ray","non-dropping-particle":"","parse-names":false,"suffix":""}],"id":"ITEM-1","issue":"1","issued":{"date-parts":[["2017","1","4"]]},"page":"e0168209","title":"Impact of the 13-Valent Pneumococcal Conjugate Vaccine on Clinical and Hypoxemic Childhood Pneumonia over Three Years in Central Malawi: An Observational Study","type":"article-journal","volume":"12"},"uris":["http://www.mendeley.com/documents/?uuid=45c6ef97-469d-3f83-9daa-656a59be8caa"]}],"mendeley":{"formattedCitation":"&lt;sup&gt;13&lt;/sup&gt;","plainTextFormattedCitation":"13","previouslyFormattedCitation":"&lt;sup&gt;12&lt;/sup&gt;"},"properties":{"noteIndex":0},"schema":"https://github.com/citation-style-language/schema/raw/master/csl-citation.json"}</w:instrText>
      </w:r>
      <w:r w:rsidR="003D0F9C">
        <w:fldChar w:fldCharType="separate"/>
      </w:r>
      <w:r w:rsidR="008C02B1" w:rsidRPr="008C02B1">
        <w:rPr>
          <w:noProof/>
          <w:vertAlign w:val="superscript"/>
        </w:rPr>
        <w:t>13</w:t>
      </w:r>
      <w:r w:rsidR="003D0F9C">
        <w:fldChar w:fldCharType="end"/>
      </w:r>
      <w:r w:rsidR="003D0F9C">
        <w:t>.</w:t>
      </w:r>
      <w:r>
        <w:t xml:space="preserve"> During that time period, the i</w:t>
      </w:r>
      <w:r>
        <w:rPr>
          <w:noProof/>
        </w:rPr>
        <w:t xml:space="preserve">ncidence rate of </w:t>
      </w:r>
      <w:r w:rsidR="003D0F9C">
        <w:rPr>
          <w:noProof/>
        </w:rPr>
        <w:t xml:space="preserve">WHO-defined </w:t>
      </w:r>
      <w:r>
        <w:rPr>
          <w:noProof/>
        </w:rPr>
        <w:t>pneumonia in Malawi was estimated to be 62.49/100 child-</w:t>
      </w:r>
      <w:r w:rsidRPr="00791A78">
        <w:t>years</w:t>
      </w:r>
      <w:r>
        <w:t xml:space="preserve"> among children aged less than 12 months, 35.02/100 child-years for ages 12 to 23 months and 12.23/100 child-years for ages 24 to 59 months (Table </w:t>
      </w:r>
      <w:r w:rsidR="00916CB4">
        <w:t>2</w:t>
      </w:r>
      <w:r>
        <w:t>).</w:t>
      </w:r>
    </w:p>
    <w:p w14:paraId="6691360A" w14:textId="4255B80E" w:rsidR="003D0F9C" w:rsidRPr="008E703B" w:rsidRDefault="003D0F9C" w:rsidP="003D0F9C">
      <w:pPr>
        <w:pStyle w:val="Caption"/>
      </w:pPr>
      <w:r>
        <w:t xml:space="preserve">Table </w:t>
      </w:r>
      <w:r w:rsidR="00E018E1">
        <w:fldChar w:fldCharType="begin"/>
      </w:r>
      <w:r w:rsidR="00E018E1">
        <w:instrText xml:space="preserve"> SEQ Table \* ARABIC </w:instrText>
      </w:r>
      <w:r w:rsidR="00E018E1">
        <w:fldChar w:fldCharType="separate"/>
      </w:r>
      <w:r w:rsidR="000979B2">
        <w:rPr>
          <w:noProof/>
        </w:rPr>
        <w:t>2</w:t>
      </w:r>
      <w:r w:rsidR="00E018E1">
        <w:rPr>
          <w:noProof/>
        </w:rPr>
        <w:fldChar w:fldCharType="end"/>
      </w:r>
      <w:r>
        <w:t xml:space="preserve"> - </w:t>
      </w:r>
      <w:r w:rsidRPr="00BD3D15">
        <w:t xml:space="preserve">Parameters in the calculation of incidence using McCollum ED et al. 2017 </w:t>
      </w:r>
      <w:r w:rsidRPr="002723F8">
        <w:t>study</w:t>
      </w:r>
      <w:r w:rsidRPr="002723F8">
        <w:fldChar w:fldCharType="begin" w:fldLock="1"/>
      </w:r>
      <w:r w:rsidR="008C02B1">
        <w:instrText>ADDIN CSL_CITATION {"citationItems":[{"id":"ITEM-1","itemData":{"DOI":"10.1371/journal.pone.0168209","ISSN":"1932-6203","author":[{"dropping-particle":"","family":"McCollum","given":"Eric D.","non-dropping-particle":"","parse-names":false,"suffix":""},{"dropping-particle":"","family":"Nambiar","given":"Bejoy","non-dropping-particle":"","parse-names":false,"suffix":""},{"dropping-particle":"","family":"Deula","given":"Rashid","non-dropping-particle":"","parse-names":false,"suffix":""},{"dropping-particle":"","family":"Zadutsa","given":"Beatiwel","non-dropping-particle":"","parse-names":false,"suffix":""},{"dropping-particle":"","family":"Bondo","given":"Austin","non-dropping-particle":"","parse-names":false,"suffix":""},{"dropping-particle":"","family":"King","given":"Carina","non-dropping-particle":"","parse-names":false,"suffix":""},{"dropping-particle":"","family":"Beard","given":"James","non-dropping-particle":"","parse-names":false,"suffix":""},{"dropping-particle":"","family":"Liyaya","given":"Harry","non-dropping-particle":"","parse-names":false,"suffix":""},{"dropping-particle":"","family":"Mankhambo","given":"Limangeni","non-dropping-particle":"","parse-names":false,"suffix":""},{"dropping-particle":"","family":"Lazzerini","given":"Marzia","non-dropping-particle":"","parse-names":false,"suffix":""},{"dropping-particle":"","family":"Makwenda","given":"Charles","non-dropping-particle":"","parse-names":false,"suffix":""},{"dropping-particle":"","family":"Masache","given":"Gibson","non-dropping-particle":"","parse-names":false,"suffix":""},{"dropping-particle":"","family":"Bar-Zeev","given":"Naor","non-dropping-particle":"","parse-names":false,"suffix":""},{"dropping-particle":"","family":"Kazembe","given":"Peter N.","non-dropping-particle":"","parse-names":false,"suffix":""},{"dropping-particle":"","family":"Mwansambo","given":"Charles","non-dropping-particle":"","parse-names":false,"suffix":""},{"dropping-particle":"","family":"Lufesi","given":"Norman","non-dropping-particle":"","parse-names":false,"suffix":""},{"dropping-particle":"","family":"Costello","given":"Anthony","non-dropping-particle":"","parse-names":false,"suffix":""},{"dropping-particle":"","family":"Armstrong","given":"Ben","non-dropping-particle":"","parse-names":false,"suffix":""},{"dropping-particle":"","family":"Colbourn","given":"Tim","non-dropping-particle":"","parse-names":false,"suffix":""}],"container-title":"PLOS ONE","editor":[{"dropping-particle":"","family":"Borrow","given":"Ray","non-dropping-particle":"","parse-names":false,"suffix":""}],"id":"ITEM-1","issue":"1","issued":{"date-parts":[["2017","1","4"]]},"page":"e0168209","title":"Impact of the 13-Valent Pneumococcal Conjugate Vaccine on Clinical and Hypoxemic Childhood Pneumonia over Three Years in Central Malawi: An Observational Study","type":"article-journal","volume":"12"},"uris":["http://www.mendeley.com/documents/?uuid=45c6ef97-469d-3f83-9daa-656a59be8caa"]}],"mendeley":{"formattedCitation":"&lt;sup&gt;13&lt;/sup&gt;","plainTextFormattedCitation":"13","previouslyFormattedCitation":"&lt;sup&gt;12&lt;/sup&gt;"},"properties":{"noteIndex":0},"schema":"https://github.com/citation-style-language/schema/raw/master/csl-citation.json"}</w:instrText>
      </w:r>
      <w:r w:rsidRPr="002723F8">
        <w:fldChar w:fldCharType="separate"/>
      </w:r>
      <w:r w:rsidR="008C02B1" w:rsidRPr="008C02B1">
        <w:rPr>
          <w:b w:val="0"/>
          <w:noProof/>
          <w:vertAlign w:val="superscript"/>
        </w:rPr>
        <w:t>13</w:t>
      </w:r>
      <w:r w:rsidRPr="002723F8">
        <w:fldChar w:fldCharType="end"/>
      </w:r>
      <w:r w:rsidRPr="002723F8">
        <w:t xml:space="preserve"> data</w:t>
      </w:r>
      <w:r>
        <w:t>*</w:t>
      </w:r>
    </w:p>
    <w:tbl>
      <w:tblPr>
        <w:tblW w:w="9412" w:type="dxa"/>
        <w:tblInd w:w="10" w:type="dxa"/>
        <w:tblLook w:val="04A0" w:firstRow="1" w:lastRow="0" w:firstColumn="1" w:lastColumn="0" w:noHBand="0" w:noVBand="1"/>
      </w:tblPr>
      <w:tblGrid>
        <w:gridCol w:w="2782"/>
        <w:gridCol w:w="1021"/>
        <w:gridCol w:w="1189"/>
        <w:gridCol w:w="1021"/>
        <w:gridCol w:w="1189"/>
        <w:gridCol w:w="1021"/>
        <w:gridCol w:w="1189"/>
      </w:tblGrid>
      <w:tr w:rsidR="003D0F9C" w:rsidRPr="008E703B" w14:paraId="58CEBB5A" w14:textId="77777777" w:rsidTr="003D0F9C">
        <w:trPr>
          <w:trHeight w:val="320"/>
        </w:trPr>
        <w:tc>
          <w:tcPr>
            <w:tcW w:w="2782" w:type="dxa"/>
            <w:vMerge w:val="restart"/>
            <w:tcBorders>
              <w:right w:val="single" w:sz="8" w:space="0" w:color="auto"/>
            </w:tcBorders>
            <w:shd w:val="clear" w:color="auto" w:fill="auto"/>
            <w:noWrap/>
            <w:vAlign w:val="center"/>
          </w:tcPr>
          <w:p w14:paraId="6BD302DC" w14:textId="77777777" w:rsidR="003D0F9C" w:rsidRDefault="003D0F9C" w:rsidP="00250B77">
            <w:pPr>
              <w:ind w:firstLine="0"/>
              <w:jc w:val="center"/>
              <w:rPr>
                <w:rFonts w:ascii="Calibri" w:hAnsi="Calibri" w:cs="Calibri"/>
                <w:color w:val="000000"/>
              </w:rPr>
            </w:pPr>
          </w:p>
        </w:tc>
        <w:tc>
          <w:tcPr>
            <w:tcW w:w="2210" w:type="dxa"/>
            <w:gridSpan w:val="2"/>
            <w:tcBorders>
              <w:top w:val="single" w:sz="8" w:space="0" w:color="auto"/>
              <w:left w:val="nil"/>
              <w:bottom w:val="single" w:sz="8" w:space="0" w:color="auto"/>
              <w:right w:val="single" w:sz="8" w:space="0" w:color="auto"/>
            </w:tcBorders>
            <w:shd w:val="clear" w:color="auto" w:fill="E7E6E6" w:themeFill="background2"/>
            <w:noWrap/>
            <w:vAlign w:val="center"/>
          </w:tcPr>
          <w:p w14:paraId="19219AF9" w14:textId="77777777" w:rsidR="003D0F9C" w:rsidRPr="008E703B" w:rsidRDefault="003D0F9C" w:rsidP="00250B77">
            <w:pPr>
              <w:spacing w:line="240" w:lineRule="auto"/>
              <w:ind w:firstLine="0"/>
              <w:jc w:val="center"/>
              <w:rPr>
                <w:rFonts w:ascii="Calibri" w:hAnsi="Calibri" w:cs="Calibri"/>
                <w:color w:val="000000"/>
              </w:rPr>
            </w:pPr>
            <w:r>
              <w:rPr>
                <w:rFonts w:ascii="Calibri" w:hAnsi="Calibri" w:cs="Calibri"/>
                <w:color w:val="000000"/>
              </w:rPr>
              <w:t>Children aged under 12 months</w:t>
            </w:r>
          </w:p>
        </w:tc>
        <w:tc>
          <w:tcPr>
            <w:tcW w:w="2210" w:type="dxa"/>
            <w:gridSpan w:val="2"/>
            <w:tcBorders>
              <w:top w:val="single" w:sz="8" w:space="0" w:color="auto"/>
              <w:left w:val="nil"/>
              <w:bottom w:val="single" w:sz="8" w:space="0" w:color="auto"/>
              <w:right w:val="single" w:sz="8" w:space="0" w:color="auto"/>
            </w:tcBorders>
            <w:shd w:val="clear" w:color="auto" w:fill="E7E6E6" w:themeFill="background2"/>
            <w:noWrap/>
            <w:vAlign w:val="center"/>
          </w:tcPr>
          <w:p w14:paraId="39430F69" w14:textId="77777777" w:rsidR="003D0F9C" w:rsidRPr="008E703B" w:rsidRDefault="003D0F9C" w:rsidP="00250B77">
            <w:pPr>
              <w:spacing w:line="240" w:lineRule="auto"/>
              <w:ind w:firstLine="0"/>
              <w:jc w:val="center"/>
              <w:rPr>
                <w:rFonts w:ascii="Calibri" w:hAnsi="Calibri" w:cs="Calibri"/>
                <w:color w:val="000000"/>
              </w:rPr>
            </w:pPr>
            <w:r>
              <w:rPr>
                <w:rFonts w:ascii="Calibri" w:hAnsi="Calibri" w:cs="Calibri"/>
                <w:color w:val="000000"/>
              </w:rPr>
              <w:t>Children aged 12-23 months</w:t>
            </w:r>
          </w:p>
        </w:tc>
        <w:tc>
          <w:tcPr>
            <w:tcW w:w="2210" w:type="dxa"/>
            <w:gridSpan w:val="2"/>
            <w:tcBorders>
              <w:top w:val="single" w:sz="8" w:space="0" w:color="auto"/>
              <w:left w:val="nil"/>
              <w:bottom w:val="single" w:sz="8" w:space="0" w:color="auto"/>
              <w:right w:val="single" w:sz="8" w:space="0" w:color="auto"/>
            </w:tcBorders>
            <w:shd w:val="clear" w:color="auto" w:fill="E7E6E6" w:themeFill="background2"/>
            <w:noWrap/>
            <w:vAlign w:val="center"/>
          </w:tcPr>
          <w:p w14:paraId="5CB2F786" w14:textId="77777777" w:rsidR="003D0F9C" w:rsidRPr="008E703B" w:rsidRDefault="003D0F9C" w:rsidP="00250B77">
            <w:pPr>
              <w:spacing w:line="240" w:lineRule="auto"/>
              <w:ind w:firstLine="0"/>
              <w:jc w:val="center"/>
              <w:rPr>
                <w:rFonts w:ascii="Calibri" w:hAnsi="Calibri" w:cs="Calibri"/>
                <w:color w:val="000000"/>
              </w:rPr>
            </w:pPr>
            <w:r>
              <w:rPr>
                <w:rFonts w:ascii="Calibri" w:hAnsi="Calibri" w:cs="Calibri"/>
                <w:color w:val="000000"/>
              </w:rPr>
              <w:t>Children aged 24-59 months</w:t>
            </w:r>
          </w:p>
        </w:tc>
      </w:tr>
      <w:tr w:rsidR="003D0F9C" w:rsidRPr="008E703B" w14:paraId="57A63CF3" w14:textId="77777777" w:rsidTr="003D0F9C">
        <w:trPr>
          <w:trHeight w:val="320"/>
        </w:trPr>
        <w:tc>
          <w:tcPr>
            <w:tcW w:w="2782" w:type="dxa"/>
            <w:vMerge/>
            <w:tcBorders>
              <w:bottom w:val="single" w:sz="8" w:space="0" w:color="auto"/>
              <w:right w:val="single" w:sz="8" w:space="0" w:color="auto"/>
            </w:tcBorders>
            <w:shd w:val="clear" w:color="auto" w:fill="auto"/>
            <w:noWrap/>
            <w:vAlign w:val="center"/>
            <w:hideMark/>
          </w:tcPr>
          <w:p w14:paraId="0DF64636" w14:textId="77777777" w:rsidR="003D0F9C" w:rsidRPr="008E703B" w:rsidRDefault="003D0F9C" w:rsidP="00250B77">
            <w:pPr>
              <w:ind w:firstLine="0"/>
              <w:jc w:val="center"/>
              <w:rPr>
                <w:rFonts w:ascii="Calibri" w:hAnsi="Calibri" w:cs="Calibri"/>
                <w:color w:val="000000"/>
              </w:rPr>
            </w:pPr>
          </w:p>
        </w:tc>
        <w:tc>
          <w:tcPr>
            <w:tcW w:w="1021" w:type="dxa"/>
            <w:tcBorders>
              <w:top w:val="single" w:sz="8" w:space="0" w:color="auto"/>
              <w:left w:val="nil"/>
              <w:bottom w:val="single" w:sz="8" w:space="0" w:color="auto"/>
              <w:right w:val="single" w:sz="4" w:space="0" w:color="auto"/>
            </w:tcBorders>
            <w:shd w:val="clear" w:color="auto" w:fill="FFF2CC" w:themeFill="accent4" w:themeFillTint="33"/>
            <w:noWrap/>
            <w:vAlign w:val="center"/>
            <w:hideMark/>
          </w:tcPr>
          <w:p w14:paraId="3BF04947"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cases</w:t>
            </w:r>
          </w:p>
        </w:tc>
        <w:tc>
          <w:tcPr>
            <w:tcW w:w="1189" w:type="dxa"/>
            <w:tcBorders>
              <w:top w:val="single" w:sz="8" w:space="0" w:color="auto"/>
              <w:left w:val="nil"/>
              <w:bottom w:val="single" w:sz="8" w:space="0" w:color="auto"/>
              <w:right w:val="single" w:sz="8" w:space="0" w:color="auto"/>
            </w:tcBorders>
            <w:shd w:val="clear" w:color="000000" w:fill="DAEEF3"/>
            <w:noWrap/>
            <w:vAlign w:val="center"/>
            <w:hideMark/>
          </w:tcPr>
          <w:p w14:paraId="0C380376" w14:textId="77777777" w:rsidR="003D0F9C" w:rsidRPr="008E703B" w:rsidRDefault="003D0F9C" w:rsidP="00250B77">
            <w:pPr>
              <w:ind w:firstLine="0"/>
              <w:jc w:val="center"/>
              <w:rPr>
                <w:rFonts w:ascii="Calibri" w:hAnsi="Calibri" w:cs="Calibri"/>
                <w:color w:val="000000"/>
              </w:rPr>
            </w:pPr>
            <w:r>
              <w:rPr>
                <w:rFonts w:ascii="Calibri" w:hAnsi="Calibri" w:cs="Calibri"/>
                <w:color w:val="000000"/>
              </w:rPr>
              <w:t>Population</w:t>
            </w:r>
          </w:p>
        </w:tc>
        <w:tc>
          <w:tcPr>
            <w:tcW w:w="1021" w:type="dxa"/>
            <w:tcBorders>
              <w:top w:val="single" w:sz="8" w:space="0" w:color="auto"/>
              <w:left w:val="nil"/>
              <w:bottom w:val="single" w:sz="8" w:space="0" w:color="auto"/>
              <w:right w:val="single" w:sz="4" w:space="0" w:color="auto"/>
            </w:tcBorders>
            <w:shd w:val="clear" w:color="auto" w:fill="FFF2CC" w:themeFill="accent4" w:themeFillTint="33"/>
            <w:noWrap/>
            <w:vAlign w:val="center"/>
            <w:hideMark/>
          </w:tcPr>
          <w:p w14:paraId="5BE97119"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cases</w:t>
            </w:r>
          </w:p>
        </w:tc>
        <w:tc>
          <w:tcPr>
            <w:tcW w:w="1189" w:type="dxa"/>
            <w:tcBorders>
              <w:top w:val="single" w:sz="8" w:space="0" w:color="auto"/>
              <w:left w:val="nil"/>
              <w:bottom w:val="single" w:sz="8" w:space="0" w:color="auto"/>
              <w:right w:val="single" w:sz="8" w:space="0" w:color="auto"/>
            </w:tcBorders>
            <w:shd w:val="clear" w:color="000000" w:fill="DAEEF3"/>
            <w:noWrap/>
            <w:vAlign w:val="center"/>
            <w:hideMark/>
          </w:tcPr>
          <w:p w14:paraId="25A4C4DE" w14:textId="77777777" w:rsidR="003D0F9C" w:rsidRPr="008E703B" w:rsidRDefault="003D0F9C" w:rsidP="00250B77">
            <w:pPr>
              <w:ind w:firstLine="0"/>
              <w:rPr>
                <w:rFonts w:ascii="Calibri" w:hAnsi="Calibri" w:cs="Calibri"/>
                <w:color w:val="000000"/>
              </w:rPr>
            </w:pPr>
            <w:r>
              <w:rPr>
                <w:rFonts w:ascii="Calibri" w:hAnsi="Calibri" w:cs="Calibri"/>
                <w:color w:val="000000"/>
              </w:rPr>
              <w:t>Population</w:t>
            </w:r>
          </w:p>
        </w:tc>
        <w:tc>
          <w:tcPr>
            <w:tcW w:w="1021" w:type="dxa"/>
            <w:tcBorders>
              <w:top w:val="single" w:sz="8" w:space="0" w:color="auto"/>
              <w:left w:val="nil"/>
              <w:bottom w:val="single" w:sz="8" w:space="0" w:color="auto"/>
              <w:right w:val="single" w:sz="4" w:space="0" w:color="auto"/>
            </w:tcBorders>
            <w:shd w:val="clear" w:color="auto" w:fill="FFF2CC" w:themeFill="accent4" w:themeFillTint="33"/>
            <w:noWrap/>
            <w:vAlign w:val="center"/>
            <w:hideMark/>
          </w:tcPr>
          <w:p w14:paraId="3D214AFF"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cases</w:t>
            </w:r>
          </w:p>
        </w:tc>
        <w:tc>
          <w:tcPr>
            <w:tcW w:w="1189" w:type="dxa"/>
            <w:tcBorders>
              <w:top w:val="single" w:sz="8" w:space="0" w:color="auto"/>
              <w:left w:val="nil"/>
              <w:bottom w:val="single" w:sz="8" w:space="0" w:color="auto"/>
              <w:right w:val="single" w:sz="8" w:space="0" w:color="auto"/>
            </w:tcBorders>
            <w:shd w:val="clear" w:color="000000" w:fill="DAEEF3"/>
            <w:noWrap/>
            <w:vAlign w:val="center"/>
            <w:hideMark/>
          </w:tcPr>
          <w:p w14:paraId="4146E404" w14:textId="77777777" w:rsidR="003D0F9C" w:rsidRPr="008E703B" w:rsidRDefault="003D0F9C" w:rsidP="00250B77">
            <w:pPr>
              <w:ind w:firstLine="0"/>
              <w:jc w:val="center"/>
              <w:rPr>
                <w:rFonts w:ascii="Calibri" w:hAnsi="Calibri" w:cs="Calibri"/>
                <w:color w:val="000000"/>
              </w:rPr>
            </w:pPr>
            <w:r>
              <w:rPr>
                <w:rFonts w:ascii="Calibri" w:hAnsi="Calibri" w:cs="Calibri"/>
                <w:color w:val="000000"/>
              </w:rPr>
              <w:t>Population</w:t>
            </w:r>
          </w:p>
        </w:tc>
      </w:tr>
      <w:tr w:rsidR="003D0F9C" w:rsidRPr="008E703B" w14:paraId="191052B3" w14:textId="77777777" w:rsidTr="00250B77">
        <w:trPr>
          <w:trHeight w:val="320"/>
        </w:trPr>
        <w:tc>
          <w:tcPr>
            <w:tcW w:w="2782" w:type="dxa"/>
            <w:tcBorders>
              <w:top w:val="nil"/>
              <w:left w:val="single" w:sz="8" w:space="0" w:color="auto"/>
              <w:bottom w:val="single" w:sz="8" w:space="0" w:color="auto"/>
              <w:right w:val="nil"/>
            </w:tcBorders>
            <w:shd w:val="clear" w:color="auto" w:fill="auto"/>
            <w:noWrap/>
            <w:vAlign w:val="center"/>
            <w:hideMark/>
          </w:tcPr>
          <w:p w14:paraId="1F7D2BC4" w14:textId="77777777" w:rsidR="003D0F9C" w:rsidRPr="008E703B" w:rsidRDefault="003D0F9C" w:rsidP="00250B77">
            <w:pPr>
              <w:ind w:firstLine="0"/>
              <w:jc w:val="center"/>
              <w:rPr>
                <w:rFonts w:ascii="Calibri" w:hAnsi="Calibri" w:cs="Calibri"/>
                <w:b/>
                <w:bCs/>
                <w:color w:val="000000"/>
              </w:rPr>
            </w:pPr>
            <w:r>
              <w:rPr>
                <w:rFonts w:ascii="Calibri" w:hAnsi="Calibri" w:cs="Calibri"/>
                <w:b/>
                <w:bCs/>
                <w:color w:val="000000"/>
              </w:rPr>
              <w:t>total number</w:t>
            </w:r>
          </w:p>
        </w:tc>
        <w:tc>
          <w:tcPr>
            <w:tcW w:w="1021" w:type="dxa"/>
            <w:tcBorders>
              <w:top w:val="nil"/>
              <w:left w:val="single" w:sz="8" w:space="0" w:color="auto"/>
              <w:bottom w:val="single" w:sz="8" w:space="0" w:color="auto"/>
              <w:right w:val="single" w:sz="8" w:space="0" w:color="auto"/>
            </w:tcBorders>
            <w:shd w:val="clear" w:color="auto" w:fill="auto"/>
            <w:noWrap/>
            <w:vAlign w:val="center"/>
            <w:hideMark/>
          </w:tcPr>
          <w:p w14:paraId="2004D0DA"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2396</w:t>
            </w:r>
          </w:p>
        </w:tc>
        <w:tc>
          <w:tcPr>
            <w:tcW w:w="1189" w:type="dxa"/>
            <w:tcBorders>
              <w:top w:val="nil"/>
              <w:left w:val="nil"/>
              <w:bottom w:val="single" w:sz="8" w:space="0" w:color="auto"/>
              <w:right w:val="single" w:sz="8" w:space="0" w:color="auto"/>
            </w:tcBorders>
            <w:shd w:val="clear" w:color="auto" w:fill="auto"/>
            <w:noWrap/>
            <w:vAlign w:val="center"/>
            <w:hideMark/>
          </w:tcPr>
          <w:p w14:paraId="73CCFC15"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43119</w:t>
            </w:r>
          </w:p>
        </w:tc>
        <w:tc>
          <w:tcPr>
            <w:tcW w:w="1021" w:type="dxa"/>
            <w:tcBorders>
              <w:top w:val="nil"/>
              <w:left w:val="nil"/>
              <w:bottom w:val="single" w:sz="8" w:space="0" w:color="auto"/>
              <w:right w:val="single" w:sz="8" w:space="0" w:color="auto"/>
            </w:tcBorders>
            <w:shd w:val="clear" w:color="auto" w:fill="auto"/>
            <w:noWrap/>
            <w:vAlign w:val="center"/>
            <w:hideMark/>
          </w:tcPr>
          <w:p w14:paraId="19EF9702"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1222</w:t>
            </w:r>
          </w:p>
        </w:tc>
        <w:tc>
          <w:tcPr>
            <w:tcW w:w="1189" w:type="dxa"/>
            <w:tcBorders>
              <w:top w:val="nil"/>
              <w:left w:val="nil"/>
              <w:bottom w:val="single" w:sz="8" w:space="0" w:color="auto"/>
              <w:right w:val="single" w:sz="8" w:space="0" w:color="auto"/>
            </w:tcBorders>
            <w:shd w:val="clear" w:color="auto" w:fill="auto"/>
            <w:noWrap/>
            <w:vAlign w:val="center"/>
            <w:hideMark/>
          </w:tcPr>
          <w:p w14:paraId="1780F86D"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39930</w:t>
            </w:r>
          </w:p>
        </w:tc>
        <w:tc>
          <w:tcPr>
            <w:tcW w:w="1021" w:type="dxa"/>
            <w:tcBorders>
              <w:top w:val="nil"/>
              <w:left w:val="nil"/>
              <w:bottom w:val="single" w:sz="8" w:space="0" w:color="auto"/>
              <w:right w:val="nil"/>
            </w:tcBorders>
            <w:shd w:val="clear" w:color="auto" w:fill="auto"/>
            <w:noWrap/>
            <w:vAlign w:val="center"/>
            <w:hideMark/>
          </w:tcPr>
          <w:p w14:paraId="49C73920"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1147</w:t>
            </w:r>
          </w:p>
        </w:tc>
        <w:tc>
          <w:tcPr>
            <w:tcW w:w="1189" w:type="dxa"/>
            <w:tcBorders>
              <w:top w:val="nil"/>
              <w:left w:val="single" w:sz="8" w:space="0" w:color="auto"/>
              <w:bottom w:val="single" w:sz="8" w:space="0" w:color="auto"/>
              <w:right w:val="single" w:sz="8" w:space="0" w:color="auto"/>
            </w:tcBorders>
            <w:shd w:val="clear" w:color="auto" w:fill="auto"/>
            <w:noWrap/>
            <w:vAlign w:val="center"/>
            <w:hideMark/>
          </w:tcPr>
          <w:p w14:paraId="7AE75E0F"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108617</w:t>
            </w:r>
          </w:p>
        </w:tc>
      </w:tr>
      <w:tr w:rsidR="003D0F9C" w:rsidRPr="008E703B" w14:paraId="197ED973" w14:textId="77777777" w:rsidTr="00250B77">
        <w:trPr>
          <w:trHeight w:val="310"/>
        </w:trPr>
        <w:tc>
          <w:tcPr>
            <w:tcW w:w="2782" w:type="dxa"/>
            <w:tcBorders>
              <w:top w:val="nil"/>
              <w:left w:val="single" w:sz="8" w:space="0" w:color="auto"/>
              <w:bottom w:val="nil"/>
              <w:right w:val="nil"/>
            </w:tcBorders>
            <w:shd w:val="clear" w:color="auto" w:fill="auto"/>
            <w:noWrap/>
            <w:vAlign w:val="center"/>
            <w:hideMark/>
          </w:tcPr>
          <w:p w14:paraId="22414A36" w14:textId="77777777" w:rsidR="003D0F9C" w:rsidRPr="008E703B" w:rsidRDefault="003D0F9C" w:rsidP="00250B77">
            <w:pPr>
              <w:ind w:firstLine="0"/>
              <w:jc w:val="center"/>
              <w:rPr>
                <w:rFonts w:ascii="Calibri" w:hAnsi="Calibri" w:cs="Calibri"/>
                <w:color w:val="000000"/>
                <w:sz w:val="16"/>
                <w:szCs w:val="16"/>
              </w:rPr>
            </w:pPr>
            <w:r w:rsidRPr="008E703B">
              <w:rPr>
                <w:rFonts w:ascii="Calibri" w:hAnsi="Calibri" w:cs="Calibri"/>
                <w:color w:val="000000"/>
                <w:sz w:val="16"/>
                <w:szCs w:val="16"/>
              </w:rPr>
              <w:t>no. of severe &amp; very sev</w:t>
            </w:r>
            <w:r>
              <w:rPr>
                <w:rFonts w:ascii="Calibri" w:hAnsi="Calibri" w:cs="Calibri"/>
                <w:color w:val="000000"/>
                <w:sz w:val="16"/>
                <w:szCs w:val="16"/>
              </w:rPr>
              <w:t>ere</w:t>
            </w:r>
            <w:r w:rsidRPr="008E703B">
              <w:rPr>
                <w:rFonts w:ascii="Calibri" w:hAnsi="Calibri" w:cs="Calibri"/>
                <w:color w:val="000000"/>
                <w:sz w:val="16"/>
                <w:szCs w:val="16"/>
              </w:rPr>
              <w:t xml:space="preserve"> cases in </w:t>
            </w:r>
            <w:r>
              <w:rPr>
                <w:rFonts w:ascii="Calibri" w:hAnsi="Calibri" w:cs="Calibri"/>
                <w:color w:val="000000"/>
                <w:sz w:val="16"/>
                <w:szCs w:val="16"/>
              </w:rPr>
              <w:t xml:space="preserve">village clinics </w:t>
            </w:r>
            <w:r w:rsidRPr="008E703B">
              <w:rPr>
                <w:rFonts w:ascii="Calibri" w:hAnsi="Calibri" w:cs="Calibri"/>
                <w:color w:val="000000"/>
                <w:sz w:val="16"/>
                <w:szCs w:val="16"/>
              </w:rPr>
              <w:t xml:space="preserve">and </w:t>
            </w:r>
            <w:r>
              <w:rPr>
                <w:rFonts w:ascii="Calibri" w:hAnsi="Calibri" w:cs="Calibri"/>
                <w:color w:val="000000"/>
                <w:sz w:val="16"/>
                <w:szCs w:val="16"/>
              </w:rPr>
              <w:t>health centres</w:t>
            </w:r>
          </w:p>
        </w:tc>
        <w:tc>
          <w:tcPr>
            <w:tcW w:w="1021" w:type="dxa"/>
            <w:tcBorders>
              <w:top w:val="nil"/>
              <w:left w:val="single" w:sz="8" w:space="0" w:color="auto"/>
              <w:bottom w:val="nil"/>
              <w:right w:val="nil"/>
            </w:tcBorders>
            <w:shd w:val="clear" w:color="auto" w:fill="auto"/>
            <w:noWrap/>
            <w:vAlign w:val="center"/>
            <w:hideMark/>
          </w:tcPr>
          <w:p w14:paraId="3DC8C166"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215</w:t>
            </w:r>
          </w:p>
        </w:tc>
        <w:tc>
          <w:tcPr>
            <w:tcW w:w="1189" w:type="dxa"/>
            <w:tcBorders>
              <w:top w:val="nil"/>
              <w:left w:val="nil"/>
              <w:bottom w:val="nil"/>
              <w:right w:val="single" w:sz="8" w:space="0" w:color="auto"/>
            </w:tcBorders>
            <w:shd w:val="clear" w:color="auto" w:fill="auto"/>
            <w:noWrap/>
            <w:vAlign w:val="bottom"/>
            <w:hideMark/>
          </w:tcPr>
          <w:p w14:paraId="59B04058" w14:textId="77777777" w:rsidR="003D0F9C" w:rsidRPr="008E703B" w:rsidRDefault="003D0F9C" w:rsidP="00250B77">
            <w:pPr>
              <w:ind w:firstLine="0"/>
              <w:jc w:val="left"/>
              <w:rPr>
                <w:rFonts w:ascii="Calibri" w:hAnsi="Calibri" w:cs="Calibri"/>
                <w:color w:val="000000"/>
              </w:rPr>
            </w:pPr>
            <w:r w:rsidRPr="008E703B">
              <w:rPr>
                <w:rFonts w:ascii="Calibri" w:hAnsi="Calibri" w:cs="Calibri"/>
                <w:color w:val="000000"/>
              </w:rPr>
              <w:t> </w:t>
            </w:r>
          </w:p>
        </w:tc>
        <w:tc>
          <w:tcPr>
            <w:tcW w:w="1021" w:type="dxa"/>
            <w:tcBorders>
              <w:top w:val="nil"/>
              <w:left w:val="nil"/>
              <w:bottom w:val="nil"/>
              <w:right w:val="nil"/>
            </w:tcBorders>
            <w:shd w:val="clear" w:color="auto" w:fill="auto"/>
            <w:noWrap/>
            <w:vAlign w:val="center"/>
            <w:hideMark/>
          </w:tcPr>
          <w:p w14:paraId="59A14516"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81</w:t>
            </w:r>
          </w:p>
        </w:tc>
        <w:tc>
          <w:tcPr>
            <w:tcW w:w="1189" w:type="dxa"/>
            <w:tcBorders>
              <w:top w:val="nil"/>
              <w:left w:val="nil"/>
              <w:bottom w:val="nil"/>
              <w:right w:val="single" w:sz="8" w:space="0" w:color="auto"/>
            </w:tcBorders>
            <w:shd w:val="clear" w:color="auto" w:fill="auto"/>
            <w:noWrap/>
            <w:vAlign w:val="bottom"/>
            <w:hideMark/>
          </w:tcPr>
          <w:p w14:paraId="1AE44405" w14:textId="77777777" w:rsidR="003D0F9C" w:rsidRPr="008E703B" w:rsidRDefault="003D0F9C" w:rsidP="00250B77">
            <w:pPr>
              <w:ind w:firstLine="0"/>
              <w:jc w:val="left"/>
              <w:rPr>
                <w:rFonts w:ascii="Calibri" w:hAnsi="Calibri" w:cs="Calibri"/>
                <w:color w:val="000000"/>
              </w:rPr>
            </w:pPr>
            <w:r w:rsidRPr="008E703B">
              <w:rPr>
                <w:rFonts w:ascii="Calibri" w:hAnsi="Calibri" w:cs="Calibri"/>
                <w:color w:val="000000"/>
              </w:rPr>
              <w:t> </w:t>
            </w:r>
          </w:p>
        </w:tc>
        <w:tc>
          <w:tcPr>
            <w:tcW w:w="1021" w:type="dxa"/>
            <w:tcBorders>
              <w:top w:val="nil"/>
              <w:left w:val="nil"/>
              <w:bottom w:val="nil"/>
              <w:right w:val="nil"/>
            </w:tcBorders>
            <w:shd w:val="clear" w:color="auto" w:fill="auto"/>
            <w:noWrap/>
            <w:vAlign w:val="center"/>
            <w:hideMark/>
          </w:tcPr>
          <w:p w14:paraId="4212444A"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57</w:t>
            </w:r>
          </w:p>
        </w:tc>
        <w:tc>
          <w:tcPr>
            <w:tcW w:w="1189" w:type="dxa"/>
            <w:tcBorders>
              <w:top w:val="nil"/>
              <w:left w:val="nil"/>
              <w:bottom w:val="nil"/>
              <w:right w:val="single" w:sz="8" w:space="0" w:color="auto"/>
            </w:tcBorders>
            <w:shd w:val="clear" w:color="auto" w:fill="auto"/>
            <w:noWrap/>
            <w:vAlign w:val="bottom"/>
            <w:hideMark/>
          </w:tcPr>
          <w:p w14:paraId="51D2A7DE" w14:textId="77777777" w:rsidR="003D0F9C" w:rsidRPr="008E703B" w:rsidRDefault="003D0F9C" w:rsidP="00250B77">
            <w:pPr>
              <w:ind w:firstLine="0"/>
              <w:jc w:val="left"/>
              <w:rPr>
                <w:rFonts w:ascii="Calibri" w:hAnsi="Calibri" w:cs="Calibri"/>
                <w:color w:val="000000"/>
              </w:rPr>
            </w:pPr>
            <w:r w:rsidRPr="008E703B">
              <w:rPr>
                <w:rFonts w:ascii="Calibri" w:hAnsi="Calibri" w:cs="Calibri"/>
                <w:color w:val="000000"/>
              </w:rPr>
              <w:t> </w:t>
            </w:r>
          </w:p>
        </w:tc>
      </w:tr>
      <w:tr w:rsidR="003D0F9C" w:rsidRPr="008E703B" w14:paraId="6C2A09CE" w14:textId="77777777" w:rsidTr="00250B77">
        <w:trPr>
          <w:trHeight w:val="320"/>
        </w:trPr>
        <w:tc>
          <w:tcPr>
            <w:tcW w:w="2782" w:type="dxa"/>
            <w:tcBorders>
              <w:top w:val="single" w:sz="4" w:space="0" w:color="auto"/>
              <w:left w:val="single" w:sz="8" w:space="0" w:color="auto"/>
              <w:bottom w:val="single" w:sz="8" w:space="0" w:color="auto"/>
              <w:right w:val="nil"/>
            </w:tcBorders>
            <w:shd w:val="clear" w:color="auto" w:fill="auto"/>
            <w:noWrap/>
            <w:vAlign w:val="bottom"/>
            <w:hideMark/>
          </w:tcPr>
          <w:p w14:paraId="3268D689" w14:textId="77777777" w:rsidR="003D0F9C" w:rsidRPr="008E703B" w:rsidRDefault="003D0F9C" w:rsidP="00250B77">
            <w:pPr>
              <w:ind w:firstLine="0"/>
              <w:jc w:val="left"/>
              <w:rPr>
                <w:rFonts w:ascii="Calibri" w:hAnsi="Calibri" w:cs="Calibri"/>
                <w:color w:val="000000"/>
              </w:rPr>
            </w:pPr>
            <w:r w:rsidRPr="008E703B">
              <w:rPr>
                <w:rFonts w:ascii="Calibri" w:hAnsi="Calibri" w:cs="Calibri"/>
                <w:color w:val="000000"/>
              </w:rPr>
              <w:t>total minus referred cases</w:t>
            </w:r>
          </w:p>
        </w:tc>
        <w:tc>
          <w:tcPr>
            <w:tcW w:w="1021" w:type="dxa"/>
            <w:tcBorders>
              <w:top w:val="single" w:sz="4" w:space="0" w:color="auto"/>
              <w:left w:val="single" w:sz="8" w:space="0" w:color="auto"/>
              <w:bottom w:val="single" w:sz="8" w:space="0" w:color="auto"/>
              <w:right w:val="nil"/>
            </w:tcBorders>
            <w:shd w:val="clear" w:color="auto" w:fill="auto"/>
            <w:noWrap/>
            <w:vAlign w:val="center"/>
            <w:hideMark/>
          </w:tcPr>
          <w:p w14:paraId="7AFB23BA"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2246</w:t>
            </w:r>
          </w:p>
        </w:tc>
        <w:tc>
          <w:tcPr>
            <w:tcW w:w="1189" w:type="dxa"/>
            <w:tcBorders>
              <w:top w:val="single" w:sz="4" w:space="0" w:color="auto"/>
              <w:left w:val="nil"/>
              <w:bottom w:val="single" w:sz="8" w:space="0" w:color="auto"/>
              <w:right w:val="single" w:sz="8" w:space="0" w:color="auto"/>
            </w:tcBorders>
            <w:shd w:val="clear" w:color="auto" w:fill="auto"/>
            <w:noWrap/>
            <w:vAlign w:val="center"/>
            <w:hideMark/>
          </w:tcPr>
          <w:p w14:paraId="0F968E3C"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 </w:t>
            </w:r>
          </w:p>
        </w:tc>
        <w:tc>
          <w:tcPr>
            <w:tcW w:w="1021" w:type="dxa"/>
            <w:tcBorders>
              <w:top w:val="single" w:sz="4" w:space="0" w:color="auto"/>
              <w:left w:val="nil"/>
              <w:bottom w:val="single" w:sz="8" w:space="0" w:color="auto"/>
              <w:right w:val="nil"/>
            </w:tcBorders>
            <w:shd w:val="clear" w:color="auto" w:fill="auto"/>
            <w:noWrap/>
            <w:vAlign w:val="center"/>
            <w:hideMark/>
          </w:tcPr>
          <w:p w14:paraId="1DDB4A6C" w14:textId="77777777" w:rsidR="003D0F9C" w:rsidRPr="008E703B" w:rsidRDefault="003D0F9C" w:rsidP="00250B77">
            <w:pPr>
              <w:ind w:firstLine="0"/>
              <w:jc w:val="center"/>
              <w:rPr>
                <w:rFonts w:ascii="Calibri" w:hAnsi="Calibri" w:cs="Calibri"/>
                <w:color w:val="000000"/>
              </w:rPr>
            </w:pPr>
            <w:r>
              <w:rPr>
                <w:rFonts w:ascii="Calibri" w:hAnsi="Calibri" w:cs="Calibri"/>
                <w:color w:val="000000"/>
              </w:rPr>
              <w:t>1165</w:t>
            </w:r>
          </w:p>
        </w:tc>
        <w:tc>
          <w:tcPr>
            <w:tcW w:w="1189" w:type="dxa"/>
            <w:tcBorders>
              <w:top w:val="single" w:sz="4" w:space="0" w:color="auto"/>
              <w:left w:val="nil"/>
              <w:bottom w:val="single" w:sz="8" w:space="0" w:color="auto"/>
              <w:right w:val="single" w:sz="8" w:space="0" w:color="auto"/>
            </w:tcBorders>
            <w:shd w:val="clear" w:color="auto" w:fill="auto"/>
            <w:noWrap/>
            <w:vAlign w:val="center"/>
            <w:hideMark/>
          </w:tcPr>
          <w:p w14:paraId="00C2D4AD"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 </w:t>
            </w:r>
          </w:p>
        </w:tc>
        <w:tc>
          <w:tcPr>
            <w:tcW w:w="1021" w:type="dxa"/>
            <w:tcBorders>
              <w:top w:val="single" w:sz="4" w:space="0" w:color="auto"/>
              <w:left w:val="nil"/>
              <w:bottom w:val="single" w:sz="8" w:space="0" w:color="auto"/>
              <w:right w:val="nil"/>
            </w:tcBorders>
            <w:shd w:val="clear" w:color="auto" w:fill="auto"/>
            <w:noWrap/>
            <w:vAlign w:val="center"/>
            <w:hideMark/>
          </w:tcPr>
          <w:p w14:paraId="4D65903E" w14:textId="77777777" w:rsidR="003D0F9C" w:rsidRPr="008E703B" w:rsidRDefault="003D0F9C" w:rsidP="00250B77">
            <w:pPr>
              <w:ind w:firstLine="0"/>
              <w:jc w:val="center"/>
              <w:rPr>
                <w:rFonts w:ascii="Calibri" w:hAnsi="Calibri" w:cs="Calibri"/>
                <w:color w:val="000000"/>
              </w:rPr>
            </w:pPr>
            <w:r>
              <w:rPr>
                <w:rFonts w:ascii="Calibri" w:hAnsi="Calibri" w:cs="Calibri"/>
                <w:color w:val="000000"/>
              </w:rPr>
              <w:t>1107</w:t>
            </w:r>
          </w:p>
        </w:tc>
        <w:tc>
          <w:tcPr>
            <w:tcW w:w="1189" w:type="dxa"/>
            <w:tcBorders>
              <w:top w:val="single" w:sz="4" w:space="0" w:color="auto"/>
              <w:left w:val="nil"/>
              <w:bottom w:val="single" w:sz="8" w:space="0" w:color="auto"/>
              <w:right w:val="single" w:sz="8" w:space="0" w:color="auto"/>
            </w:tcBorders>
            <w:shd w:val="clear" w:color="auto" w:fill="auto"/>
            <w:noWrap/>
            <w:vAlign w:val="center"/>
            <w:hideMark/>
          </w:tcPr>
          <w:p w14:paraId="4C5B787C"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 </w:t>
            </w:r>
          </w:p>
        </w:tc>
      </w:tr>
      <w:tr w:rsidR="003D0F9C" w:rsidRPr="008E703B" w14:paraId="35CC65EF" w14:textId="77777777" w:rsidTr="00250B77">
        <w:trPr>
          <w:trHeight w:val="320"/>
        </w:trPr>
        <w:tc>
          <w:tcPr>
            <w:tcW w:w="3803" w:type="dxa"/>
            <w:gridSpan w:val="2"/>
            <w:tcBorders>
              <w:top w:val="single" w:sz="8" w:space="0" w:color="auto"/>
              <w:left w:val="single" w:sz="8" w:space="0" w:color="auto"/>
              <w:bottom w:val="single" w:sz="8" w:space="0" w:color="auto"/>
              <w:right w:val="nil"/>
            </w:tcBorders>
            <w:shd w:val="clear" w:color="auto" w:fill="auto"/>
            <w:noWrap/>
            <w:vAlign w:val="center"/>
            <w:hideMark/>
          </w:tcPr>
          <w:p w14:paraId="23C71F18" w14:textId="77777777" w:rsidR="003D0F9C" w:rsidRPr="008E703B" w:rsidRDefault="003D0F9C" w:rsidP="00250B77">
            <w:pPr>
              <w:ind w:firstLine="0"/>
              <w:jc w:val="left"/>
              <w:rPr>
                <w:rFonts w:ascii="Calibri" w:hAnsi="Calibri" w:cs="Calibri"/>
                <w:color w:val="000000"/>
              </w:rPr>
            </w:pPr>
            <w:r w:rsidRPr="008E703B">
              <w:rPr>
                <w:rFonts w:ascii="Calibri" w:hAnsi="Calibri" w:cs="Calibri"/>
                <w:color w:val="000000"/>
              </w:rPr>
              <w:t xml:space="preserve">rate per 100,000 child-months </w:t>
            </w:r>
          </w:p>
        </w:tc>
        <w:tc>
          <w:tcPr>
            <w:tcW w:w="1189" w:type="dxa"/>
            <w:tcBorders>
              <w:top w:val="nil"/>
              <w:left w:val="nil"/>
              <w:bottom w:val="single" w:sz="8" w:space="0" w:color="auto"/>
              <w:right w:val="nil"/>
            </w:tcBorders>
            <w:shd w:val="clear" w:color="auto" w:fill="auto"/>
            <w:noWrap/>
            <w:vAlign w:val="center"/>
            <w:hideMark/>
          </w:tcPr>
          <w:p w14:paraId="2900ADEB"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5207.71</w:t>
            </w:r>
          </w:p>
        </w:tc>
        <w:tc>
          <w:tcPr>
            <w:tcW w:w="1021" w:type="dxa"/>
            <w:tcBorders>
              <w:top w:val="nil"/>
              <w:left w:val="nil"/>
              <w:bottom w:val="single" w:sz="8" w:space="0" w:color="auto"/>
              <w:right w:val="nil"/>
            </w:tcBorders>
            <w:shd w:val="clear" w:color="auto" w:fill="auto"/>
            <w:noWrap/>
            <w:vAlign w:val="center"/>
            <w:hideMark/>
          </w:tcPr>
          <w:p w14:paraId="1A1CCDD1"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 </w:t>
            </w:r>
          </w:p>
        </w:tc>
        <w:tc>
          <w:tcPr>
            <w:tcW w:w="1189" w:type="dxa"/>
            <w:tcBorders>
              <w:top w:val="nil"/>
              <w:left w:val="nil"/>
              <w:bottom w:val="single" w:sz="8" w:space="0" w:color="auto"/>
              <w:right w:val="nil"/>
            </w:tcBorders>
            <w:shd w:val="clear" w:color="auto" w:fill="auto"/>
            <w:noWrap/>
            <w:vAlign w:val="center"/>
            <w:hideMark/>
          </w:tcPr>
          <w:p w14:paraId="5E107C4D"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2918.37</w:t>
            </w:r>
          </w:p>
        </w:tc>
        <w:tc>
          <w:tcPr>
            <w:tcW w:w="1021" w:type="dxa"/>
            <w:tcBorders>
              <w:top w:val="nil"/>
              <w:left w:val="nil"/>
              <w:bottom w:val="single" w:sz="8" w:space="0" w:color="auto"/>
              <w:right w:val="nil"/>
            </w:tcBorders>
            <w:shd w:val="clear" w:color="auto" w:fill="auto"/>
            <w:noWrap/>
            <w:vAlign w:val="center"/>
            <w:hideMark/>
          </w:tcPr>
          <w:p w14:paraId="397D8AB6"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 </w:t>
            </w:r>
          </w:p>
        </w:tc>
        <w:tc>
          <w:tcPr>
            <w:tcW w:w="1189" w:type="dxa"/>
            <w:tcBorders>
              <w:top w:val="nil"/>
              <w:left w:val="nil"/>
              <w:bottom w:val="single" w:sz="8" w:space="0" w:color="auto"/>
              <w:right w:val="single" w:sz="8" w:space="0" w:color="auto"/>
            </w:tcBorders>
            <w:shd w:val="clear" w:color="auto" w:fill="auto"/>
            <w:noWrap/>
            <w:vAlign w:val="center"/>
            <w:hideMark/>
          </w:tcPr>
          <w:p w14:paraId="203F41CF" w14:textId="77777777" w:rsidR="003D0F9C" w:rsidRPr="008E703B" w:rsidRDefault="003D0F9C" w:rsidP="00250B77">
            <w:pPr>
              <w:ind w:firstLine="0"/>
              <w:jc w:val="center"/>
              <w:rPr>
                <w:rFonts w:ascii="Calibri" w:hAnsi="Calibri" w:cs="Calibri"/>
                <w:color w:val="000000"/>
              </w:rPr>
            </w:pPr>
            <w:r w:rsidRPr="008E703B">
              <w:rPr>
                <w:rFonts w:ascii="Calibri" w:hAnsi="Calibri" w:cs="Calibri"/>
                <w:color w:val="000000"/>
              </w:rPr>
              <w:t>1019.27</w:t>
            </w:r>
          </w:p>
        </w:tc>
      </w:tr>
      <w:tr w:rsidR="003D0F9C" w:rsidRPr="008E703B" w14:paraId="0B2EDAA7" w14:textId="77777777" w:rsidTr="00250B77">
        <w:trPr>
          <w:trHeight w:val="320"/>
        </w:trPr>
        <w:tc>
          <w:tcPr>
            <w:tcW w:w="3803" w:type="dxa"/>
            <w:gridSpan w:val="2"/>
            <w:tcBorders>
              <w:top w:val="single" w:sz="8" w:space="0" w:color="auto"/>
              <w:left w:val="single" w:sz="8" w:space="0" w:color="auto"/>
              <w:bottom w:val="single" w:sz="8" w:space="0" w:color="auto"/>
              <w:right w:val="nil"/>
            </w:tcBorders>
            <w:shd w:val="clear" w:color="000000" w:fill="EBF1DE"/>
            <w:noWrap/>
            <w:vAlign w:val="center"/>
            <w:hideMark/>
          </w:tcPr>
          <w:p w14:paraId="7D6F6374" w14:textId="77777777" w:rsidR="003D0F9C" w:rsidRPr="009C72B9" w:rsidRDefault="003D0F9C" w:rsidP="00250B77">
            <w:pPr>
              <w:ind w:firstLine="0"/>
              <w:jc w:val="left"/>
              <w:rPr>
                <w:rFonts w:ascii="Calibri" w:hAnsi="Calibri" w:cs="Calibri"/>
                <w:b/>
                <w:color w:val="000000"/>
              </w:rPr>
            </w:pPr>
            <w:r w:rsidRPr="009C72B9">
              <w:rPr>
                <w:rFonts w:ascii="Calibri" w:hAnsi="Calibri" w:cs="Calibri"/>
                <w:b/>
                <w:color w:val="000000"/>
              </w:rPr>
              <w:t>rate per 100 child-years</w:t>
            </w:r>
          </w:p>
        </w:tc>
        <w:tc>
          <w:tcPr>
            <w:tcW w:w="1189" w:type="dxa"/>
            <w:tcBorders>
              <w:top w:val="nil"/>
              <w:left w:val="nil"/>
              <w:bottom w:val="single" w:sz="8" w:space="0" w:color="auto"/>
              <w:right w:val="nil"/>
            </w:tcBorders>
            <w:shd w:val="clear" w:color="000000" w:fill="EBF1DE"/>
            <w:noWrap/>
            <w:vAlign w:val="center"/>
            <w:hideMark/>
          </w:tcPr>
          <w:p w14:paraId="35474CFB" w14:textId="77777777" w:rsidR="003D0F9C" w:rsidRPr="009C72B9" w:rsidRDefault="003D0F9C" w:rsidP="00250B77">
            <w:pPr>
              <w:ind w:firstLine="0"/>
              <w:jc w:val="center"/>
              <w:rPr>
                <w:rFonts w:ascii="Calibri" w:hAnsi="Calibri" w:cs="Calibri"/>
                <w:b/>
                <w:color w:val="000000"/>
              </w:rPr>
            </w:pPr>
            <w:r w:rsidRPr="009C72B9">
              <w:rPr>
                <w:rFonts w:ascii="Calibri" w:hAnsi="Calibri" w:cs="Calibri"/>
                <w:b/>
                <w:color w:val="000000"/>
              </w:rPr>
              <w:t>62.49</w:t>
            </w:r>
          </w:p>
        </w:tc>
        <w:tc>
          <w:tcPr>
            <w:tcW w:w="1021" w:type="dxa"/>
            <w:tcBorders>
              <w:top w:val="nil"/>
              <w:left w:val="nil"/>
              <w:bottom w:val="single" w:sz="8" w:space="0" w:color="auto"/>
              <w:right w:val="nil"/>
            </w:tcBorders>
            <w:shd w:val="clear" w:color="000000" w:fill="EBF1DE"/>
            <w:noWrap/>
            <w:vAlign w:val="center"/>
            <w:hideMark/>
          </w:tcPr>
          <w:p w14:paraId="0B610C22" w14:textId="77777777" w:rsidR="003D0F9C" w:rsidRPr="009C72B9" w:rsidRDefault="003D0F9C" w:rsidP="00250B77">
            <w:pPr>
              <w:ind w:firstLine="0"/>
              <w:jc w:val="center"/>
              <w:rPr>
                <w:rFonts w:ascii="Calibri" w:hAnsi="Calibri" w:cs="Calibri"/>
                <w:b/>
                <w:color w:val="000000"/>
              </w:rPr>
            </w:pPr>
            <w:r w:rsidRPr="009C72B9">
              <w:rPr>
                <w:rFonts w:ascii="Calibri" w:hAnsi="Calibri" w:cs="Calibri"/>
                <w:b/>
                <w:color w:val="000000"/>
              </w:rPr>
              <w:t> </w:t>
            </w:r>
          </w:p>
        </w:tc>
        <w:tc>
          <w:tcPr>
            <w:tcW w:w="1189" w:type="dxa"/>
            <w:tcBorders>
              <w:top w:val="nil"/>
              <w:left w:val="nil"/>
              <w:bottom w:val="single" w:sz="8" w:space="0" w:color="auto"/>
              <w:right w:val="nil"/>
            </w:tcBorders>
            <w:shd w:val="clear" w:color="000000" w:fill="EBF1DE"/>
            <w:noWrap/>
            <w:vAlign w:val="center"/>
            <w:hideMark/>
          </w:tcPr>
          <w:p w14:paraId="251B2AC0" w14:textId="77777777" w:rsidR="003D0F9C" w:rsidRPr="009C72B9" w:rsidRDefault="003D0F9C" w:rsidP="00250B77">
            <w:pPr>
              <w:ind w:firstLine="0"/>
              <w:jc w:val="center"/>
              <w:rPr>
                <w:rFonts w:ascii="Calibri" w:hAnsi="Calibri" w:cs="Calibri"/>
                <w:b/>
                <w:color w:val="000000"/>
              </w:rPr>
            </w:pPr>
            <w:r w:rsidRPr="009C72B9">
              <w:rPr>
                <w:rFonts w:ascii="Calibri" w:hAnsi="Calibri" w:cs="Calibri"/>
                <w:b/>
                <w:color w:val="000000"/>
              </w:rPr>
              <w:t>35.02</w:t>
            </w:r>
          </w:p>
        </w:tc>
        <w:tc>
          <w:tcPr>
            <w:tcW w:w="1021" w:type="dxa"/>
            <w:tcBorders>
              <w:top w:val="nil"/>
              <w:left w:val="nil"/>
              <w:bottom w:val="single" w:sz="8" w:space="0" w:color="auto"/>
              <w:right w:val="nil"/>
            </w:tcBorders>
            <w:shd w:val="clear" w:color="000000" w:fill="EBF1DE"/>
            <w:noWrap/>
            <w:vAlign w:val="center"/>
            <w:hideMark/>
          </w:tcPr>
          <w:p w14:paraId="1E43DCA5" w14:textId="77777777" w:rsidR="003D0F9C" w:rsidRPr="009C72B9" w:rsidRDefault="003D0F9C" w:rsidP="00250B77">
            <w:pPr>
              <w:ind w:firstLine="0"/>
              <w:jc w:val="center"/>
              <w:rPr>
                <w:rFonts w:ascii="Calibri" w:hAnsi="Calibri" w:cs="Calibri"/>
                <w:b/>
                <w:color w:val="000000"/>
              </w:rPr>
            </w:pPr>
            <w:r w:rsidRPr="009C72B9">
              <w:rPr>
                <w:rFonts w:ascii="Calibri" w:hAnsi="Calibri" w:cs="Calibri"/>
                <w:b/>
                <w:color w:val="000000"/>
              </w:rPr>
              <w:t> </w:t>
            </w:r>
          </w:p>
        </w:tc>
        <w:tc>
          <w:tcPr>
            <w:tcW w:w="1189" w:type="dxa"/>
            <w:tcBorders>
              <w:top w:val="nil"/>
              <w:left w:val="nil"/>
              <w:bottom w:val="single" w:sz="8" w:space="0" w:color="auto"/>
              <w:right w:val="single" w:sz="8" w:space="0" w:color="auto"/>
            </w:tcBorders>
            <w:shd w:val="clear" w:color="000000" w:fill="EBF1DE"/>
            <w:noWrap/>
            <w:vAlign w:val="center"/>
            <w:hideMark/>
          </w:tcPr>
          <w:p w14:paraId="2C747810" w14:textId="77777777" w:rsidR="003D0F9C" w:rsidRPr="009C72B9" w:rsidRDefault="003D0F9C" w:rsidP="00250B77">
            <w:pPr>
              <w:ind w:firstLine="0"/>
              <w:jc w:val="center"/>
              <w:rPr>
                <w:rFonts w:ascii="Calibri" w:hAnsi="Calibri" w:cs="Calibri"/>
                <w:b/>
                <w:color w:val="000000"/>
              </w:rPr>
            </w:pPr>
            <w:r w:rsidRPr="009C72B9">
              <w:rPr>
                <w:rFonts w:ascii="Calibri" w:hAnsi="Calibri" w:cs="Calibri"/>
                <w:b/>
                <w:color w:val="000000"/>
              </w:rPr>
              <w:t>12.23</w:t>
            </w:r>
          </w:p>
        </w:tc>
      </w:tr>
    </w:tbl>
    <w:p w14:paraId="1F86EE2B" w14:textId="03199AAF" w:rsidR="003D0F9C" w:rsidRPr="009A51D2" w:rsidRDefault="00F03A1D" w:rsidP="009A51D2">
      <w:pPr>
        <w:spacing w:line="240" w:lineRule="auto"/>
        <w:ind w:firstLine="0"/>
        <w:jc w:val="left"/>
        <w:rPr>
          <w:sz w:val="19"/>
          <w:szCs w:val="19"/>
        </w:rPr>
      </w:pPr>
      <w:r>
        <w:rPr>
          <w:sz w:val="19"/>
          <w:szCs w:val="19"/>
        </w:rPr>
        <w:t>C</w:t>
      </w:r>
      <w:r w:rsidR="003D0F9C" w:rsidRPr="009A51D2">
        <w:rPr>
          <w:sz w:val="19"/>
          <w:szCs w:val="19"/>
        </w:rPr>
        <w:t xml:space="preserve">ases include all pneumonia cases seen at the hospital, health centre and village clinics within the study during the admission dates. pop0_11 – population aged 0 to 11 months, pop12_23 – population aged 12-23 months, pop24_59 – </w:t>
      </w:r>
      <w:r w:rsidR="003D0F9C" w:rsidRPr="009A51D2">
        <w:rPr>
          <w:sz w:val="19"/>
          <w:szCs w:val="19"/>
        </w:rPr>
        <w:lastRenderedPageBreak/>
        <w:t>population aged 24 to 59 months (underlying population served by the health facilities in the study</w:t>
      </w:r>
      <w:r w:rsidR="009A51D2" w:rsidRPr="009A51D2">
        <w:rPr>
          <w:sz w:val="19"/>
          <w:szCs w:val="19"/>
        </w:rPr>
        <w:t>, estimates derived from Malawi Census 2008 Main Report</w:t>
      </w:r>
      <w:r w:rsidR="003D0F9C" w:rsidRPr="009A51D2">
        <w:rPr>
          <w:sz w:val="19"/>
          <w:szCs w:val="19"/>
        </w:rPr>
        <w:t>)</w:t>
      </w:r>
    </w:p>
    <w:p w14:paraId="166BB5A0" w14:textId="77777777" w:rsidR="003D0F9C" w:rsidRDefault="003D0F9C" w:rsidP="003D0F9C">
      <w:pPr>
        <w:spacing w:line="240" w:lineRule="auto"/>
        <w:ind w:firstLine="0"/>
        <w:rPr>
          <w:sz w:val="19"/>
          <w:szCs w:val="19"/>
        </w:rPr>
      </w:pPr>
      <w:r>
        <w:rPr>
          <w:sz w:val="19"/>
          <w:szCs w:val="19"/>
        </w:rPr>
        <w:t>*Admission dates between January and June 2012</w:t>
      </w:r>
    </w:p>
    <w:p w14:paraId="74D9E774" w14:textId="77777777" w:rsidR="003D0F9C" w:rsidRPr="008E703B" w:rsidRDefault="003D0F9C" w:rsidP="00E01721"/>
    <w:p w14:paraId="689952E4" w14:textId="48719D37" w:rsidR="004D0AEE" w:rsidRDefault="009A51D2" w:rsidP="008C02B1">
      <w:pPr>
        <w:spacing w:before="240"/>
      </w:pPr>
      <w:r>
        <w:t xml:space="preserve">Considering that </w:t>
      </w:r>
      <w:r w:rsidR="00F03A1D">
        <w:t>‘’</w:t>
      </w:r>
      <w:r>
        <w:t xml:space="preserve">severe and </w:t>
      </w:r>
      <w:r w:rsidR="00F03A1D">
        <w:t>‘</w:t>
      </w:r>
      <w:r>
        <w:t>very severe</w:t>
      </w:r>
      <w:r w:rsidR="00F03A1D">
        <w:t>’</w:t>
      </w:r>
      <w:r>
        <w:t xml:space="preserve"> pneumonia cases seen at health centres and village clinics are required to be referred to a health facility for further management, the number of cases seen at in those facilities were subtracted from the total to avoid duplication, with an assumption that only 70% reached the hospital for further management (this can be changed depending on data to inform this). For the incidence calculated above, the cases are children for whom care was sought at the health facilities included in the study. However, not all children with pneumonia symptoms will have a health system interaction, particularly for milder disease. I have not added to the incidence </w:t>
      </w:r>
      <w:r w:rsidRPr="00AB640E">
        <w:t xml:space="preserve">those that did not seek care at a health facility – the DHS has data on children under 5 with symptoms of </w:t>
      </w:r>
      <w:r>
        <w:t>acute respiratory infections</w:t>
      </w:r>
      <w:r w:rsidRPr="00AB640E">
        <w:t xml:space="preserve"> (cough in the past two weeks, with short, rapid breathing which was chest related) for whom advice or treatment was sought from a health facility or provider, however this is </w:t>
      </w:r>
      <w:r>
        <w:t>based on mother’s report and may not be accurate</w:t>
      </w:r>
      <w:r w:rsidRPr="00AB640E">
        <w:t>, which can lead to an overestimation of incidence of pneumonia/ALRIs</w:t>
      </w:r>
      <w:r>
        <w:t>.</w:t>
      </w:r>
    </w:p>
    <w:p w14:paraId="5268A027" w14:textId="0BEE05EC" w:rsidR="00FF699E" w:rsidRDefault="004D0AEE" w:rsidP="008C02B1">
      <w:pPr>
        <w:spacing w:before="240"/>
      </w:pPr>
      <w:r>
        <w:t>Chest x-ray (CXR) are the most widely employed test t</w:t>
      </w:r>
      <w:r w:rsidR="00FF699E">
        <w:t xml:space="preserve">o confirm the diagnosis, </w:t>
      </w:r>
      <w:r>
        <w:t>however, this method is not indicated in ambulatory settings and cannot distinguish v</w:t>
      </w:r>
      <w:r w:rsidR="008C02B1">
        <w:t>iral and</w:t>
      </w:r>
      <w:r>
        <w:t xml:space="preserve"> bacterial pneumonia</w:t>
      </w:r>
      <w:r w:rsidR="008C02B1">
        <w:fldChar w:fldCharType="begin" w:fldLock="1"/>
      </w:r>
      <w:r w:rsidR="008C02B1">
        <w:instrText>ADDIN CSL_CITATION {"citationItems":[{"id":"ITEM-1","itemData":{"DOI":"10.15172/pneu.2014.5/482","ISSN":"2200-6133","abstract":"Despite the importance of paediatric pneumonia as a cause of short and long-term morbidity and mortality worldwide, a reliable gold standard for its diagnosis remains elusive. The utility of clinical, microbiological and radiological diagnostic approaches varies widely within and between populations and is heavily dependent on the expertise and resources available in various settings. Here we review the role of radiology in the diagnosis of paediatric pneumonia. Chest radiographs (CXRs) are the most widely employed test, however, they are not indicated in ambulatory settings, cannot distinguish between viral and bacterial infections and have a limited role in the ongoing management of disease. A standardised definition of alveolar pneumonia on a CXR exists for epidemiological studies targeting bacterial pneumonias but it should not be extrapolated to clinical settings. Radiography, computed tomography and to a lesser extent ultrasonography and magnetic resonance imaging play an important role in complicated pneumonias but there are limitations that preclude their use as routine diagnostic tools. Large population-based studies are needed in different populations to address many of the knowledge gaps in the radiological diagnosis of pneumonia in children, however, the feasibility of such studies is an important barrier.","author":[{"dropping-particle":"","family":"O’Grady","given":"Kerry-Ann F.","non-dropping-particle":"","parse-names":false,"suffix":""},{"dropping-particle":"","family":"Torzillo","given":"Paul J.","non-dropping-particle":"","parse-names":false,"suffix":""},{"dropping-particle":"","family":"Frawley","given":"Kieran","non-dropping-particle":"","parse-names":false,"suffix":""},{"dropping-particle":"","family":"Chang","given":"Anne B.","non-dropping-particle":"","parse-names":false,"suffix":""}],"container-title":"Pneumonia 2014 5:1","id":"ITEM-1","issue":"1","issued":{"date-parts":[["2014","12","1"]]},"page":"38-51","publisher":"BioMed Central","title":"The radiological diagnosis of pneumonia in children","type":"article-journal","volume":"5"},"uris":["http://www.mendeley.com/documents/?uuid=2a9a614e-463a-32cc-897f-38e77d75ead4"]}],"mendeley":{"formattedCitation":"&lt;sup&gt;14&lt;/sup&gt;","plainTextFormattedCitation":"14","previouslyFormattedCitation":"&lt;sup&gt;13&lt;/sup&gt;"},"properties":{"noteIndex":0},"schema":"https://github.com/citation-style-language/schema/raw/master/csl-citation.json"}</w:instrText>
      </w:r>
      <w:r w:rsidR="008C02B1">
        <w:fldChar w:fldCharType="separate"/>
      </w:r>
      <w:r w:rsidR="008C02B1" w:rsidRPr="008C02B1">
        <w:rPr>
          <w:noProof/>
          <w:vertAlign w:val="superscript"/>
        </w:rPr>
        <w:t>14</w:t>
      </w:r>
      <w:r w:rsidR="008C02B1">
        <w:fldChar w:fldCharType="end"/>
      </w:r>
      <w:r>
        <w:t xml:space="preserve">. </w:t>
      </w:r>
      <w:r w:rsidR="00FF699E">
        <w:t>Although negative CXR excludes pneumonia in majority of children</w:t>
      </w:r>
      <w:r w:rsidR="00FF699E">
        <w:fldChar w:fldCharType="begin" w:fldLock="1"/>
      </w:r>
      <w:r w:rsidR="008C02B1">
        <w:instrText>ADDIN CSL_CITATION {"citationItems":[{"id":"ITEM-1","itemData":{"DOI":"10.1542/peds.2018-0236","ISSN":"1098-4275","PMID":"30154120","abstract":": media-1vid110.1542/5804413949001PEDS-VA_2018-0236Video Abstract BACKGROUND AND OBJECTIVES: The ability of the chest radiograph (CXR) to exclude the diagnosis of pneumonia in children is unclear. We sought to determine the negative predictive value of CXR in children with suspected pneumonia. METHODS Children 3 months to 18 years of age undergoing CXRs for suspected pneumonia in a tertiary-care pediatric emergency department (ED) were prospectively enrolled. Children currently receiving antibiotics and those with underlying chronic medical conditions were excluded. The primary outcome was defined as a physician-ascribed diagnosis of pneumonia independent of radiographic findings. CXR results were classified as positive, equivocal, or negative according to radiologist interpretation. Children with negative CXRs and without a clinical diagnosis of pneumonia were managed for 2 weeks after the ED visit. Children subsequently diagnosed with pneumonia during the follow-up period were considered to have had false-negative CXRs at the ED visit. RESULTS There were 683 children enrolled during the 2-year study period, with a median age of 3.1 years (interquartile range 1.4-5.9 years). There were 457 children (72.8%) with negative CXRs; 44 of these children (8.9%) were clinically diagnosed with pneumonia, and 42 (9.3%) were given antibiotics for other bacterial syndromes. Of the 411 children with negative CXRs who were managed without antibiotics, 5 were subsequently diagnosed with pneumonia within 2 weeks (negative predictive value of CXR 98.8%; 95% confidence interval 97.0%-99.6%). CONCLUSIONS A negative CXR excludes pneumonia in the majority of children. Children with negative CXRs and low clinical suspicion for pneumonia can be safely observed without antibiotic therapy.","author":[{"dropping-particle":"","family":"Lipsett","given":"Susan C","non-dropping-particle":"","parse-names":false,"suffix":""},{"dropping-particle":"","family":"Monuteaux","given":"Michael C","non-dropping-particle":"","parse-names":false,"suffix":""},{"dropping-particle":"","family":"Bachur","given":"Richard G","non-dropping-particle":"","parse-names":false,"suffix":""},{"dropping-particle":"","family":"Finn","given":"Nicole","non-dropping-particle":"","parse-names":false,"suffix":""},{"dropping-particle":"","family":"Neuman","given":"Mark I","non-dropping-particle":"","parse-names":false,"suffix":""}],"container-title":"Pediatrics","id":"ITEM-1","issue":"3","issued":{"date-parts":[["2018","9","1"]]},"publisher":"American Academy of Pediatrics","title":"Negative Chest Radiography and Risk of Pneumonia.","type":"article-journal","volume":"142"},"uris":["http://www.mendeley.com/documents/?uuid=e6a98067-230a-33dd-99a6-665b876ba0ee"]}],"mendeley":{"formattedCitation":"&lt;sup&gt;15&lt;/sup&gt;","plainTextFormattedCitation":"15","previouslyFormattedCitation":"&lt;sup&gt;14&lt;/sup&gt;"},"properties":{"noteIndex":0},"schema":"https://github.com/citation-style-language/schema/raw/master/csl-citation.json"}</w:instrText>
      </w:r>
      <w:r w:rsidR="00FF699E">
        <w:fldChar w:fldCharType="separate"/>
      </w:r>
      <w:r w:rsidR="008C02B1" w:rsidRPr="008C02B1">
        <w:rPr>
          <w:noProof/>
          <w:vertAlign w:val="superscript"/>
        </w:rPr>
        <w:t>15</w:t>
      </w:r>
      <w:r w:rsidR="00FF699E">
        <w:fldChar w:fldCharType="end"/>
      </w:r>
      <w:r w:rsidR="00FF699E">
        <w:t xml:space="preserve">, chest radiographs may not show evidence of pneumonia in early stages of infection, and there is variation in intraobserver and interobserver agreement. </w:t>
      </w:r>
    </w:p>
    <w:p w14:paraId="12D4E99D" w14:textId="2238286F" w:rsidR="00FF699E" w:rsidRDefault="00FF699E" w:rsidP="00FF699E">
      <w:r>
        <w:t>Therefore, I propose to distil from the incidences of clinical pneumonia estimated using the PCV13 study data, and calculate the incidence of pneumonia as the underlying pathology of clinical disease using the data from PERCH: for severe cases – the proportion with a positive CXR was 46.26%; for very severe cases, the proportion with a positive CXR was 40.58% - overall 41.8% of clinical pneumonia cases from the study had a radiological confirmation. This proportion of CXR+ confirmed pneumonia diagnosis is consistent with Begom et al 2018 study, assessing the clinical and radiological parameters of severe pneumonia (revised guidelines) in children aged 2-59 months from Bangladesh, whereby 40% were diagnosed as pneumonia and 60% were diagnosed as bronchiolitis radiologically</w:t>
      </w:r>
      <w:r>
        <w:fldChar w:fldCharType="begin" w:fldLock="1"/>
      </w:r>
      <w:r w:rsidR="008C02B1">
        <w:instrText>ADDIN CSL_CITATION {"citationItems":[{"id":"ITEM-1","itemData":{"ISSN":"2408-8757","PMID":"30487483","abstract":"Pneumonia is the leading cause of morbidity and mortality in children less than 5 years of age in developing countries like Bangladesh. Although WHO guideline classified severe pneumonia by symptoms and signs of the patients, radiological and laboratory investigations were not studied well. There was increasing number of cases of bronchiolitis which meet the criteria of WHO classified severe pneumonia are reported. The objective of the study was to assess the clinical and radiological parameters of severe pneumonia in 2 months to 59 months hospitalized children according to WHO guideline. This cross sectional study was conducted in pediatrics department of Mymensingh Medical College Hospital, Mymensingh, Bangladesh from July, 2015 to December 2015. Total 150 patients were included in this cross sectional study according to their clinical symptoms. Firstly, the chest x-ray was done in all the patients and radiographs were reviewed by an expert radiologist who was blind about the cases. Then the patients were classified as pneumonia and bronchiolitis according to the clinical features and radiology findings. Majority of the patients 83(55.3%) were between 2-6 months of age and mean age was 7.52±8.87. Maximum 105(70%) patients were male and 45(30%) were female. Most of them 70(47%) came from low middle class family. Regarding clinical features, all patients 150 had cough and chest indrawing. Ronchi found in 135(90%) patients, difficult breathing and fast breathing found in 130(87%) patients, crepitation in 122(81%) patients, wheeze in 93(62%) patients, dull on percussion in 36(21%) patients, bronchial breath sound in 25(17%) patients. Regarding radiological features, lobar consolidation was found in 18(12%) patients, patchy opacities in 42(28%) patients, which were radiological findings of pneumonia, while hyperinflation of lung present in 90(60%) patients, increased translucency in 82(54.6%), increased interstitial marking in 88(58.6%) patients, which were radiological findings of bronchiolitis. A total of 60(40%) admitted cases were diagnosed as pneumonia and 90(60%) cases diagnosed as bronchiolitis radiologically, which were predominant in WHO classified severe pneumonia (p&lt;0.05). Wheeze was present in case of hyperinflation of lung in 78(83.8%), increased translucency in 67(72%) and increased interstitial marking in 70(75.2%) patients among radiological bronchiolitis (n=90). From above results we can concluded that Bronchiolitis was predominant among W…","author":[{"dropping-particle":"","family":"Begom","given":"A","non-dropping-particle":"","parse-names":false,"suffix":""},{"dropping-particle":"","family":"Choudhury","given":"A M","non-dropping-particle":"","parse-names":false,"suffix":""},{"dropping-particle":"","family":"Islam","given":"M N","non-dropping-particle":"","parse-names":false,"suffix":""},{"dropping-particle":"","family":"Ali","given":"M A","non-dropping-particle":"","parse-names":false,"suffix":""},{"dropping-particle":"","family":"Hossain","given":"M A","non-dropping-particle":"","parse-names":false,"suffix":""},{"dropping-particle":"","family":"Hoque","given":"M A","non-dropping-particle":"","parse-names":false,"suffix":""},{"dropping-particle":"","family":"Miah","given":"S I","non-dropping-particle":"","parse-names":false,"suffix":""},{"dropping-particle":"","family":"Bhuiyan","given":"K J","non-dropping-particle":"","parse-names":false,"suffix":""}],"container-title":"Mymensingh medical journal : MMJ","id":"ITEM-1","issue":"4","issued":{"date-parts":[["2018","10"]]},"page":"702-709","publisher":"Mymensingh Med J","title":"Clinical and Radiological Evaluation of Children Aged 2 Months to 5 Years with Severe Pneumonia According to WHO Guideline.","type":"article-journal","volume":"27"},"uris":["http://www.mendeley.com/documents/?uuid=61b643e5-077d-4bc5-8561-fdc79f0f4603"]}],"mendeley":{"formattedCitation":"&lt;sup&gt;16&lt;/sup&gt;","plainTextFormattedCitation":"16","previouslyFormattedCitation":"&lt;sup&gt;15&lt;/sup&gt;"},"properties":{"noteIndex":0},"schema":"https://github.com/citation-style-language/schema/raw/master/csl-citation.json"}</w:instrText>
      </w:r>
      <w:r>
        <w:fldChar w:fldCharType="separate"/>
      </w:r>
      <w:r w:rsidR="008C02B1" w:rsidRPr="008C02B1">
        <w:rPr>
          <w:noProof/>
          <w:vertAlign w:val="superscript"/>
        </w:rPr>
        <w:t>16</w:t>
      </w:r>
      <w:r>
        <w:fldChar w:fldCharType="end"/>
      </w:r>
      <w:r>
        <w:t>. Previous studies showed for non-severe pneumonia, 14% had radiological evidence of pneumonia</w:t>
      </w:r>
      <w:r>
        <w:fldChar w:fldCharType="begin" w:fldLock="1"/>
      </w:r>
      <w:r w:rsidR="008C02B1">
        <w:instrText>ADDIN CSL_CITATION {"citationItems":[{"id":"ITEM-1","itemData":{"DOI":"10.1136/bmj.38915.673322.80","ISSN":"09598146","abstract":"Objectives: To evaluate the chest radiographs of children diagnosed with non-severe pneumonia on the basis of the current World Health Organization guidelines (fast breathing alone) for radiological evidence of pneumonia. Design: Descriptive analysis. Setting: Outpatient departments of six hospitals in four cities in Pakistan. Participants: 2000 children with non-severe pneumonia were enrolled; 1932 children were selected for chest radiography. Interventions: Two consultant radiologists used standardised WHO definitions to evaluate chest radiographs; no clinical information was made available to them. If they disagreed, the radiographs were read by a third radiologist; the final classification was based on agreement between two of the three radiologists. Main outcome measures: Presence or absence of pneumonia on radiographs. Results: Chest radiographs were reported normal in 1519 children (82%). Radiological evidence of pneumonia was reported in only 263 (14%) children, most of whom had interstitial pneumonitis. Lobar consolidation was present in only 26 children. The duration of illness did not correlate significantly with the presence of radiological changes (relative risk 1.17, 95% confidence interval 0.91 to 1.49). Conclusion: Most children diagnosed with non-severe pneumonia on the basis of the current WHO definition had normal chest radiographs.","author":[{"dropping-particle":"","family":"Hazir","given":"Tabish","non-dropping-particle":"","parse-names":false,"suffix":""},{"dropping-particle":"Bin","family":"Nisar","given":"Yasir","non-dropping-particle":"","parse-names":false,"suffix":""},{"dropping-particle":"","family":"Qazi","given":"Shamim A.","non-dropping-particle":"","parse-names":false,"suffix":""},{"dropping-particle":"","family":"Khan","given":"Shazia F.","non-dropping-particle":"","parse-names":false,"suffix":""},{"dropping-particle":"","family":"Raza","given":"Mujahid","non-dropping-particle":"","parse-names":false,"suffix":""},{"dropping-particle":"","family":"Zameer","given":"Shehla","non-dropping-particle":"","parse-names":false,"suffix":""},{"dropping-particle":"","family":"Masood","given":"Syed Asif","non-dropping-particle":"","parse-names":false,"suffix":""}],"container-title":"British Medical Journal","id":"ITEM-1","issue":"7569","issued":{"date-parts":[["2006","9","23"]]},"page":"629-631","title":"Chest radiography in children aged 2-59 months diagnosed with non-severe pneumonia as defined by World Health Organization: Descriptive multicentre study in Pakistan","type":"article-journal","volume":"333"},"uris":["http://www.mendeley.com/documents/?uuid=57403505-71c8-3f79-90f5-bcb83dd17333"]}],"mendeley":{"formattedCitation":"&lt;sup&gt;17&lt;/sup&gt;","plainTextFormattedCitation":"17","previouslyFormattedCitation":"&lt;sup&gt;16&lt;/sup&gt;"},"properties":{"noteIndex":0},"schema":"https://github.com/citation-style-language/schema/raw/master/csl-citation.json"}</w:instrText>
      </w:r>
      <w:r>
        <w:fldChar w:fldCharType="separate"/>
      </w:r>
      <w:r w:rsidR="008C02B1" w:rsidRPr="008C02B1">
        <w:rPr>
          <w:noProof/>
          <w:vertAlign w:val="superscript"/>
        </w:rPr>
        <w:t>17</w:t>
      </w:r>
      <w:r>
        <w:fldChar w:fldCharType="end"/>
      </w:r>
      <w:r>
        <w:t xml:space="preserve">. </w:t>
      </w:r>
    </w:p>
    <w:p w14:paraId="0D12DFAA" w14:textId="408AFAC2" w:rsidR="00FF699E" w:rsidRDefault="00FF699E" w:rsidP="00FF699E">
      <w:r>
        <w:t>Next, using the values of CXR sensitivity and specificity from a meta-analysis study comparing the accuracy of lung ultrasound and CXR for the diagnosis of paediatric community-acquired pneumonia, using as ‘gold standard’ the expert paediatrician clinical diagnosis of pneumonia, the proportion of CXR+ from PERCH were adjusted to account for those that might have not be picked up. The CXR sensitivity and specificity values are</w:t>
      </w:r>
      <w:r w:rsidRPr="00B63D3C">
        <w:t xml:space="preserve"> </w:t>
      </w:r>
      <w:r>
        <w:t xml:space="preserve">respectively 86.8% and 98.2% </w:t>
      </w:r>
      <w:r>
        <w:fldChar w:fldCharType="begin" w:fldLock="1"/>
      </w:r>
      <w:r w:rsidR="008C02B1">
        <w:instrText>ADDIN CSL_CITATION {"citationItems":[{"id":"ITEM-1","itemData":{"DOI":"10.1002/ppul.24020","ISSN":"87556863","abstract":"Objective: Although a clinical diagnosis, the standard initial imaging modality for patients with concern for pediatric community acquired pneumonia (pCAP) is a chest x-ray (CXR), which has a relatively high false negative rate, exposes patients to ionizing radiation, and may not be available in resource limited settings. The primary objective of this meta-analysis is to evaluate the accuracy of lung ultrasound (LUS) compared to CXR for the diagnosis of pCAP. Methods: Data were collected via a systematic review of PubMed, EMBASE, and Web of Science with dates up to August 2017. Keywords and search terms were generated for pneumonia, lung ultrasound, and pediatric population. Two independent investigators screened abstracts for inclusion. PRISMA was used for selecting appropriate studies. QUADAS was applied to these studies to assess quality for inclusion into the meta-analysis. We collected data from included studies and calculated sensitivity, specificity, positive predictive value, and negative predictive values of CXR and LUS for the diagnosis of pCAP. Results: Twelve studies including 1510 patients were selected for data extraction. LUS had a sensitivity of 95.5% (93.6-97.1) and specificity of 95.3% (91.1-98.3). CXR had a sensitivity of 86.8% (83.3-90.0) and specificity of 98.2% (95.7-99.6). Variations between the studies included ultrasound findings diagnostic of pneumonia, study setting (inpatient vs emergency department) and inclusion of CXR in the reference standard for pneumonia. Conclusions: In our meta-analysis, lung ultrasound had significantly better sensitivity with similar specificity when compared to chest x-ray for the diagnosis of pediatric community acquired pneumonia.","author":[{"dropping-particle":"","family":"Balk","given":"Daniel S.","non-dropping-particle":"","parse-names":false,"suffix":""},{"dropping-particle":"","family":"Lee","given":"Christine","non-dropping-particle":"","parse-names":false,"suffix":""},{"dropping-particle":"","family":"Schafer","given":"Jesse","non-dropping-particle":"","parse-names":false,"suffix":""},{"dropping-particle":"","family":"Welwarth","given":"Jeremy","non-dropping-particle":"","parse-names":false,"suffix":""},{"dropping-particle":"","family":"Hardin","given":"John","non-dropping-particle":"","parse-names":false,"suffix":""},{"dropping-particle":"","family":"Novack","given":"Victor","non-dropping-particle":"","parse-names":false,"suffix":""},{"dropping-particle":"","family":"Yarza","given":"Shaked","non-dropping-particle":"","parse-names":false,"suffix":""},{"dropping-particle":"","family":"Hoffmann","given":"Beatrice","non-dropping-particle":"","parse-names":false,"suffix":""}],"container-title":"Pediatric Pulmonology","id":"ITEM-1","issue":"8","issued":{"date-parts":[["2018","8","1"]]},"page":"1130-1139","publisher":"John Wiley and Sons Inc.","title":"Lung ultrasound compared to chest X-ray for diagnosis of pediatric pneumonia: A meta-analysis","type":"article-journal","volume":"53"},"uris":["http://www.mendeley.com/documents/?uuid=a1b03e3f-e7e6-3e2f-b666-57ecd52cd911"]}],"mendeley":{"formattedCitation":"&lt;sup&gt;18&lt;/sup&gt;","plainTextFormattedCitation":"18","previouslyFormattedCitation":"&lt;sup&gt;17&lt;/sup&gt;"},"properties":{"noteIndex":0},"schema":"https://github.com/citation-style-language/schema/raw/master/csl-citation.json"}</w:instrText>
      </w:r>
      <w:r>
        <w:fldChar w:fldCharType="separate"/>
      </w:r>
      <w:r w:rsidR="008C02B1" w:rsidRPr="008C02B1">
        <w:rPr>
          <w:noProof/>
          <w:vertAlign w:val="superscript"/>
        </w:rPr>
        <w:t>18</w:t>
      </w:r>
      <w:r>
        <w:fldChar w:fldCharType="end"/>
      </w:r>
      <w:r>
        <w:t>.</w:t>
      </w:r>
    </w:p>
    <w:p w14:paraId="281B3601" w14:textId="23784497" w:rsidR="00FF699E" w:rsidRDefault="00FF699E" w:rsidP="00FF699E">
      <w:pPr>
        <w:pStyle w:val="Caption"/>
        <w:keepNext/>
      </w:pPr>
      <w:r>
        <w:t xml:space="preserve">Table </w:t>
      </w:r>
      <w:r w:rsidR="00E018E1">
        <w:fldChar w:fldCharType="begin"/>
      </w:r>
      <w:r w:rsidR="00E018E1">
        <w:instrText xml:space="preserve"> SEQ Table \* ARABIC </w:instrText>
      </w:r>
      <w:r w:rsidR="00E018E1">
        <w:fldChar w:fldCharType="separate"/>
      </w:r>
      <w:r w:rsidR="000979B2">
        <w:rPr>
          <w:noProof/>
        </w:rPr>
        <w:t>3</w:t>
      </w:r>
      <w:r w:rsidR="00E018E1">
        <w:rPr>
          <w:noProof/>
        </w:rPr>
        <w:fldChar w:fldCharType="end"/>
      </w:r>
      <w:r>
        <w:t xml:space="preserve"> - </w:t>
      </w:r>
      <w:r w:rsidRPr="002A4692">
        <w:t>Proportion of CXR+ among severe and very severe cases included in the PERCH study vs. adjustment with paediatrician clinical diagnosis of pneumonia as ‘gold’ standard</w:t>
      </w:r>
    </w:p>
    <w:tbl>
      <w:tblPr>
        <w:tblW w:w="5519" w:type="dxa"/>
        <w:tblLook w:val="04A0" w:firstRow="1" w:lastRow="0" w:firstColumn="1" w:lastColumn="0" w:noHBand="0" w:noVBand="1"/>
      </w:tblPr>
      <w:tblGrid>
        <w:gridCol w:w="1460"/>
        <w:gridCol w:w="1649"/>
        <w:gridCol w:w="2410"/>
      </w:tblGrid>
      <w:tr w:rsidR="00FF699E" w:rsidRPr="00365377" w14:paraId="12CF9B19" w14:textId="77777777" w:rsidTr="00250B77">
        <w:trPr>
          <w:trHeight w:val="320"/>
        </w:trPr>
        <w:tc>
          <w:tcPr>
            <w:tcW w:w="1460" w:type="dxa"/>
            <w:tcBorders>
              <w:top w:val="single" w:sz="8" w:space="0" w:color="auto"/>
              <w:left w:val="single" w:sz="8" w:space="0" w:color="auto"/>
              <w:bottom w:val="single" w:sz="8" w:space="0" w:color="auto"/>
              <w:right w:val="single" w:sz="8" w:space="0" w:color="auto"/>
            </w:tcBorders>
            <w:shd w:val="clear" w:color="000000" w:fill="EEECE1"/>
            <w:noWrap/>
            <w:vAlign w:val="bottom"/>
            <w:hideMark/>
          </w:tcPr>
          <w:p w14:paraId="36F39583" w14:textId="77777777" w:rsidR="00FF699E" w:rsidRPr="00365377" w:rsidRDefault="00FF699E" w:rsidP="00250B77">
            <w:pPr>
              <w:ind w:firstLine="0"/>
              <w:jc w:val="center"/>
              <w:rPr>
                <w:rFonts w:ascii="Calibri" w:hAnsi="Calibri" w:cs="Calibri"/>
                <w:color w:val="000000"/>
                <w:szCs w:val="21"/>
              </w:rPr>
            </w:pPr>
            <w:r w:rsidRPr="00365377">
              <w:rPr>
                <w:rFonts w:ascii="Calibri" w:hAnsi="Calibri" w:cs="Calibri"/>
                <w:color w:val="000000"/>
                <w:szCs w:val="21"/>
              </w:rPr>
              <w:t xml:space="preserve">Age group </w:t>
            </w:r>
            <w:r>
              <w:rPr>
                <w:rFonts w:ascii="Calibri" w:hAnsi="Calibri" w:cs="Calibri"/>
                <w:color w:val="000000"/>
                <w:szCs w:val="21"/>
              </w:rPr>
              <w:t>(months)</w:t>
            </w:r>
          </w:p>
        </w:tc>
        <w:tc>
          <w:tcPr>
            <w:tcW w:w="1649" w:type="dxa"/>
            <w:tcBorders>
              <w:top w:val="single" w:sz="8" w:space="0" w:color="auto"/>
              <w:left w:val="nil"/>
              <w:bottom w:val="single" w:sz="8" w:space="0" w:color="auto"/>
              <w:right w:val="single" w:sz="8" w:space="0" w:color="auto"/>
            </w:tcBorders>
            <w:shd w:val="clear" w:color="000000" w:fill="EEECE1"/>
            <w:noWrap/>
            <w:vAlign w:val="bottom"/>
            <w:hideMark/>
          </w:tcPr>
          <w:p w14:paraId="39BB9191" w14:textId="77777777" w:rsidR="00FF699E" w:rsidRPr="00365377" w:rsidRDefault="00FF699E" w:rsidP="00250B77">
            <w:pPr>
              <w:ind w:firstLine="0"/>
              <w:jc w:val="center"/>
              <w:rPr>
                <w:rFonts w:ascii="Calibri" w:hAnsi="Calibri" w:cs="Calibri"/>
                <w:color w:val="000000"/>
                <w:szCs w:val="21"/>
              </w:rPr>
            </w:pPr>
            <w:r>
              <w:rPr>
                <w:rFonts w:ascii="Calibri" w:hAnsi="Calibri" w:cs="Calibri"/>
                <w:color w:val="000000"/>
                <w:szCs w:val="21"/>
              </w:rPr>
              <w:t>P</w:t>
            </w:r>
            <w:r w:rsidRPr="00365377">
              <w:rPr>
                <w:rFonts w:ascii="Calibri" w:hAnsi="Calibri" w:cs="Calibri"/>
                <w:color w:val="000000"/>
                <w:szCs w:val="21"/>
              </w:rPr>
              <w:t>r</w:t>
            </w:r>
            <w:r>
              <w:rPr>
                <w:rFonts w:ascii="Calibri" w:hAnsi="Calibri" w:cs="Calibri"/>
                <w:color w:val="000000"/>
                <w:szCs w:val="21"/>
              </w:rPr>
              <w:t>o</w:t>
            </w:r>
            <w:r w:rsidRPr="00365377">
              <w:rPr>
                <w:rFonts w:ascii="Calibri" w:hAnsi="Calibri" w:cs="Calibri"/>
                <w:color w:val="000000"/>
                <w:szCs w:val="21"/>
              </w:rPr>
              <w:t>portion of CXR+</w:t>
            </w:r>
          </w:p>
        </w:tc>
        <w:tc>
          <w:tcPr>
            <w:tcW w:w="2410" w:type="dxa"/>
            <w:tcBorders>
              <w:top w:val="single" w:sz="8" w:space="0" w:color="auto"/>
              <w:left w:val="nil"/>
              <w:bottom w:val="single" w:sz="8" w:space="0" w:color="auto"/>
              <w:right w:val="single" w:sz="8" w:space="0" w:color="auto"/>
            </w:tcBorders>
            <w:shd w:val="clear" w:color="auto" w:fill="F4B083" w:themeFill="accent2" w:themeFillTint="99"/>
          </w:tcPr>
          <w:p w14:paraId="6BCC2C62" w14:textId="77777777" w:rsidR="00FF699E" w:rsidRDefault="00FF699E" w:rsidP="00250B77">
            <w:pPr>
              <w:ind w:firstLine="0"/>
              <w:jc w:val="center"/>
              <w:rPr>
                <w:rFonts w:ascii="Calibri" w:hAnsi="Calibri" w:cs="Calibri"/>
                <w:color w:val="000000"/>
                <w:szCs w:val="21"/>
              </w:rPr>
            </w:pPr>
            <w:r>
              <w:rPr>
                <w:rFonts w:ascii="Calibri" w:hAnsi="Calibri" w:cs="Calibri"/>
                <w:color w:val="000000"/>
                <w:szCs w:val="21"/>
              </w:rPr>
              <w:t>If 100% sensitivity &amp; specificity</w:t>
            </w:r>
          </w:p>
        </w:tc>
      </w:tr>
      <w:tr w:rsidR="00FF699E" w:rsidRPr="00365377" w14:paraId="74A3D897" w14:textId="77777777" w:rsidTr="00250B77">
        <w:trPr>
          <w:trHeight w:val="31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14:paraId="417DCC59" w14:textId="77777777" w:rsidR="00FF699E" w:rsidRPr="00365377" w:rsidRDefault="00FF699E" w:rsidP="00250B77">
            <w:pPr>
              <w:ind w:firstLine="0"/>
              <w:jc w:val="center"/>
              <w:rPr>
                <w:rFonts w:ascii="Calibri" w:hAnsi="Calibri" w:cs="Calibri"/>
                <w:color w:val="000000"/>
                <w:szCs w:val="21"/>
              </w:rPr>
            </w:pPr>
            <w:r w:rsidRPr="00365377">
              <w:rPr>
                <w:rFonts w:ascii="Calibri" w:hAnsi="Calibri" w:cs="Calibri"/>
                <w:color w:val="000000"/>
                <w:szCs w:val="21"/>
              </w:rPr>
              <w:t>1-5</w:t>
            </w:r>
          </w:p>
        </w:tc>
        <w:tc>
          <w:tcPr>
            <w:tcW w:w="1649" w:type="dxa"/>
            <w:tcBorders>
              <w:top w:val="nil"/>
              <w:left w:val="nil"/>
              <w:bottom w:val="single" w:sz="4" w:space="0" w:color="auto"/>
              <w:right w:val="single" w:sz="8" w:space="0" w:color="auto"/>
            </w:tcBorders>
            <w:shd w:val="clear" w:color="auto" w:fill="auto"/>
            <w:noWrap/>
            <w:vAlign w:val="bottom"/>
            <w:hideMark/>
          </w:tcPr>
          <w:p w14:paraId="12154A00" w14:textId="77777777" w:rsidR="00FF699E" w:rsidRPr="00365377" w:rsidRDefault="00FF699E" w:rsidP="00250B77">
            <w:pPr>
              <w:ind w:firstLine="0"/>
              <w:jc w:val="center"/>
              <w:rPr>
                <w:rFonts w:ascii="Calibri" w:hAnsi="Calibri" w:cs="Calibri"/>
                <w:color w:val="000000"/>
                <w:szCs w:val="21"/>
              </w:rPr>
            </w:pPr>
            <w:r w:rsidRPr="00365377">
              <w:rPr>
                <w:rFonts w:ascii="Calibri" w:hAnsi="Calibri" w:cs="Calibri"/>
                <w:color w:val="000000"/>
                <w:szCs w:val="21"/>
              </w:rPr>
              <w:t>42.68%</w:t>
            </w:r>
          </w:p>
        </w:tc>
        <w:tc>
          <w:tcPr>
            <w:tcW w:w="2410" w:type="dxa"/>
            <w:tcBorders>
              <w:top w:val="nil"/>
              <w:left w:val="nil"/>
              <w:bottom w:val="single" w:sz="4" w:space="0" w:color="auto"/>
              <w:right w:val="single" w:sz="8" w:space="0" w:color="auto"/>
            </w:tcBorders>
          </w:tcPr>
          <w:p w14:paraId="55C4A968" w14:textId="77777777" w:rsidR="00FF699E" w:rsidRPr="00365377" w:rsidRDefault="00FF699E" w:rsidP="00250B77">
            <w:pPr>
              <w:ind w:firstLine="0"/>
              <w:jc w:val="center"/>
              <w:rPr>
                <w:rFonts w:ascii="Calibri" w:hAnsi="Calibri" w:cs="Calibri"/>
                <w:color w:val="000000"/>
                <w:szCs w:val="21"/>
              </w:rPr>
            </w:pPr>
            <w:r>
              <w:rPr>
                <w:rFonts w:ascii="Calibri" w:hAnsi="Calibri" w:cs="Calibri"/>
                <w:color w:val="000000"/>
                <w:szCs w:val="21"/>
              </w:rPr>
              <w:t>48.13%</w:t>
            </w:r>
          </w:p>
        </w:tc>
      </w:tr>
      <w:tr w:rsidR="00FF699E" w:rsidRPr="00365377" w14:paraId="5D93DE1A" w14:textId="77777777" w:rsidTr="00250B77">
        <w:trPr>
          <w:trHeight w:val="31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14:paraId="4CB90294" w14:textId="77777777" w:rsidR="00FF699E" w:rsidRPr="00365377" w:rsidRDefault="00FF699E" w:rsidP="00250B77">
            <w:pPr>
              <w:ind w:firstLine="0"/>
              <w:jc w:val="center"/>
              <w:rPr>
                <w:rFonts w:ascii="Calibri" w:hAnsi="Calibri" w:cs="Calibri"/>
                <w:color w:val="000000"/>
                <w:szCs w:val="21"/>
              </w:rPr>
            </w:pPr>
            <w:r w:rsidRPr="00365377">
              <w:rPr>
                <w:rFonts w:ascii="Calibri" w:hAnsi="Calibri" w:cs="Calibri"/>
                <w:color w:val="000000"/>
                <w:szCs w:val="21"/>
              </w:rPr>
              <w:t>6-11</w:t>
            </w:r>
          </w:p>
        </w:tc>
        <w:tc>
          <w:tcPr>
            <w:tcW w:w="1649" w:type="dxa"/>
            <w:tcBorders>
              <w:top w:val="nil"/>
              <w:left w:val="nil"/>
              <w:bottom w:val="single" w:sz="4" w:space="0" w:color="auto"/>
              <w:right w:val="single" w:sz="8" w:space="0" w:color="auto"/>
            </w:tcBorders>
            <w:shd w:val="clear" w:color="auto" w:fill="auto"/>
            <w:noWrap/>
            <w:vAlign w:val="bottom"/>
            <w:hideMark/>
          </w:tcPr>
          <w:p w14:paraId="70A4CCFE" w14:textId="77777777" w:rsidR="00FF699E" w:rsidRPr="00365377" w:rsidRDefault="00FF699E" w:rsidP="00250B77">
            <w:pPr>
              <w:ind w:firstLine="0"/>
              <w:jc w:val="center"/>
              <w:rPr>
                <w:rFonts w:ascii="Calibri" w:hAnsi="Calibri" w:cs="Calibri"/>
                <w:color w:val="000000"/>
                <w:szCs w:val="21"/>
              </w:rPr>
            </w:pPr>
            <w:r w:rsidRPr="00365377">
              <w:rPr>
                <w:rFonts w:ascii="Calibri" w:hAnsi="Calibri" w:cs="Calibri"/>
                <w:color w:val="000000"/>
                <w:szCs w:val="21"/>
              </w:rPr>
              <w:t>46.81%</w:t>
            </w:r>
          </w:p>
        </w:tc>
        <w:tc>
          <w:tcPr>
            <w:tcW w:w="2410" w:type="dxa"/>
            <w:tcBorders>
              <w:top w:val="nil"/>
              <w:left w:val="nil"/>
              <w:bottom w:val="single" w:sz="4" w:space="0" w:color="auto"/>
              <w:right w:val="single" w:sz="8" w:space="0" w:color="auto"/>
            </w:tcBorders>
          </w:tcPr>
          <w:p w14:paraId="7D591552" w14:textId="77777777" w:rsidR="00FF699E" w:rsidRPr="00365377" w:rsidRDefault="00FF699E" w:rsidP="00250B77">
            <w:pPr>
              <w:ind w:firstLine="0"/>
              <w:jc w:val="center"/>
              <w:rPr>
                <w:rFonts w:ascii="Calibri" w:hAnsi="Calibri" w:cs="Calibri"/>
                <w:color w:val="000000"/>
                <w:szCs w:val="21"/>
              </w:rPr>
            </w:pPr>
            <w:r>
              <w:rPr>
                <w:rFonts w:ascii="Calibri" w:hAnsi="Calibri" w:cs="Calibri"/>
                <w:color w:val="000000"/>
                <w:szCs w:val="21"/>
              </w:rPr>
              <w:t>52.82%</w:t>
            </w:r>
          </w:p>
        </w:tc>
      </w:tr>
      <w:tr w:rsidR="00FF699E" w:rsidRPr="00365377" w14:paraId="479EF6CD" w14:textId="77777777" w:rsidTr="00250B77">
        <w:trPr>
          <w:trHeight w:val="31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14:paraId="0CBC7A45" w14:textId="77777777" w:rsidR="00FF699E" w:rsidRPr="00365377" w:rsidRDefault="00FF699E" w:rsidP="00250B77">
            <w:pPr>
              <w:ind w:firstLine="0"/>
              <w:jc w:val="center"/>
              <w:rPr>
                <w:rFonts w:ascii="Calibri" w:hAnsi="Calibri" w:cs="Calibri"/>
                <w:color w:val="000000"/>
                <w:szCs w:val="21"/>
              </w:rPr>
            </w:pPr>
            <w:r w:rsidRPr="00365377">
              <w:rPr>
                <w:rFonts w:ascii="Calibri" w:hAnsi="Calibri" w:cs="Calibri"/>
                <w:color w:val="000000"/>
                <w:szCs w:val="21"/>
              </w:rPr>
              <w:t>12-23</w:t>
            </w:r>
          </w:p>
        </w:tc>
        <w:tc>
          <w:tcPr>
            <w:tcW w:w="1649" w:type="dxa"/>
            <w:tcBorders>
              <w:top w:val="nil"/>
              <w:left w:val="nil"/>
              <w:bottom w:val="single" w:sz="4" w:space="0" w:color="auto"/>
              <w:right w:val="single" w:sz="8" w:space="0" w:color="auto"/>
            </w:tcBorders>
            <w:shd w:val="clear" w:color="auto" w:fill="auto"/>
            <w:noWrap/>
            <w:vAlign w:val="bottom"/>
            <w:hideMark/>
          </w:tcPr>
          <w:p w14:paraId="35AB4EFB" w14:textId="77777777" w:rsidR="00FF699E" w:rsidRPr="00365377" w:rsidRDefault="00FF699E" w:rsidP="00250B77">
            <w:pPr>
              <w:ind w:firstLine="0"/>
              <w:jc w:val="center"/>
              <w:rPr>
                <w:rFonts w:ascii="Calibri" w:hAnsi="Calibri" w:cs="Calibri"/>
                <w:color w:val="000000"/>
                <w:szCs w:val="21"/>
              </w:rPr>
            </w:pPr>
            <w:r w:rsidRPr="00365377">
              <w:rPr>
                <w:rFonts w:ascii="Calibri" w:hAnsi="Calibri" w:cs="Calibri"/>
                <w:color w:val="000000"/>
                <w:szCs w:val="21"/>
              </w:rPr>
              <w:t>48.28%</w:t>
            </w:r>
          </w:p>
        </w:tc>
        <w:tc>
          <w:tcPr>
            <w:tcW w:w="2410" w:type="dxa"/>
            <w:tcBorders>
              <w:top w:val="nil"/>
              <w:left w:val="nil"/>
              <w:bottom w:val="single" w:sz="4" w:space="0" w:color="auto"/>
              <w:right w:val="single" w:sz="8" w:space="0" w:color="auto"/>
            </w:tcBorders>
          </w:tcPr>
          <w:p w14:paraId="0801C994" w14:textId="77777777" w:rsidR="00FF699E" w:rsidRPr="00365377" w:rsidRDefault="00FF699E" w:rsidP="00250B77">
            <w:pPr>
              <w:ind w:firstLine="0"/>
              <w:jc w:val="center"/>
              <w:rPr>
                <w:rFonts w:ascii="Calibri" w:hAnsi="Calibri" w:cs="Calibri"/>
                <w:color w:val="000000"/>
                <w:szCs w:val="21"/>
              </w:rPr>
            </w:pPr>
            <w:r>
              <w:rPr>
                <w:rFonts w:ascii="Calibri" w:hAnsi="Calibri" w:cs="Calibri"/>
                <w:color w:val="000000"/>
                <w:szCs w:val="21"/>
              </w:rPr>
              <w:t>54.52%</w:t>
            </w:r>
          </w:p>
        </w:tc>
      </w:tr>
      <w:tr w:rsidR="00FF699E" w:rsidRPr="00365377" w14:paraId="774B25DC" w14:textId="77777777" w:rsidTr="00250B77">
        <w:trPr>
          <w:trHeight w:val="320"/>
        </w:trPr>
        <w:tc>
          <w:tcPr>
            <w:tcW w:w="1460" w:type="dxa"/>
            <w:tcBorders>
              <w:top w:val="nil"/>
              <w:left w:val="single" w:sz="8" w:space="0" w:color="auto"/>
              <w:bottom w:val="single" w:sz="8" w:space="0" w:color="auto"/>
              <w:right w:val="single" w:sz="4" w:space="0" w:color="auto"/>
            </w:tcBorders>
            <w:shd w:val="clear" w:color="auto" w:fill="auto"/>
            <w:noWrap/>
            <w:vAlign w:val="bottom"/>
            <w:hideMark/>
          </w:tcPr>
          <w:p w14:paraId="386EED9D" w14:textId="77777777" w:rsidR="00FF699E" w:rsidRPr="00365377" w:rsidRDefault="00FF699E" w:rsidP="00250B77">
            <w:pPr>
              <w:ind w:firstLine="0"/>
              <w:jc w:val="center"/>
              <w:rPr>
                <w:rFonts w:ascii="Calibri" w:hAnsi="Calibri" w:cs="Calibri"/>
                <w:color w:val="000000"/>
                <w:szCs w:val="21"/>
              </w:rPr>
            </w:pPr>
            <w:r w:rsidRPr="00365377">
              <w:rPr>
                <w:rFonts w:ascii="Calibri" w:hAnsi="Calibri" w:cs="Calibri"/>
                <w:color w:val="000000"/>
                <w:szCs w:val="21"/>
              </w:rPr>
              <w:t>24-59</w:t>
            </w:r>
          </w:p>
        </w:tc>
        <w:tc>
          <w:tcPr>
            <w:tcW w:w="1649" w:type="dxa"/>
            <w:tcBorders>
              <w:top w:val="nil"/>
              <w:left w:val="nil"/>
              <w:bottom w:val="single" w:sz="8" w:space="0" w:color="auto"/>
              <w:right w:val="single" w:sz="8" w:space="0" w:color="auto"/>
            </w:tcBorders>
            <w:shd w:val="clear" w:color="auto" w:fill="auto"/>
            <w:noWrap/>
            <w:vAlign w:val="bottom"/>
            <w:hideMark/>
          </w:tcPr>
          <w:p w14:paraId="129E8365" w14:textId="77777777" w:rsidR="00FF699E" w:rsidRPr="00365377" w:rsidRDefault="00FF699E" w:rsidP="00250B77">
            <w:pPr>
              <w:ind w:firstLine="0"/>
              <w:jc w:val="center"/>
              <w:rPr>
                <w:rFonts w:ascii="Calibri" w:hAnsi="Calibri" w:cs="Calibri"/>
                <w:color w:val="000000"/>
                <w:szCs w:val="21"/>
              </w:rPr>
            </w:pPr>
            <w:r w:rsidRPr="00365377">
              <w:rPr>
                <w:rFonts w:ascii="Calibri" w:hAnsi="Calibri" w:cs="Calibri"/>
                <w:color w:val="000000"/>
                <w:szCs w:val="21"/>
              </w:rPr>
              <w:t>39.38%</w:t>
            </w:r>
          </w:p>
        </w:tc>
        <w:tc>
          <w:tcPr>
            <w:tcW w:w="2410" w:type="dxa"/>
            <w:tcBorders>
              <w:top w:val="nil"/>
              <w:left w:val="nil"/>
              <w:bottom w:val="single" w:sz="8" w:space="0" w:color="auto"/>
              <w:right w:val="single" w:sz="8" w:space="0" w:color="auto"/>
            </w:tcBorders>
          </w:tcPr>
          <w:p w14:paraId="6623679F" w14:textId="77777777" w:rsidR="00FF699E" w:rsidRPr="00365377" w:rsidRDefault="00FF699E" w:rsidP="00250B77">
            <w:pPr>
              <w:ind w:firstLine="0"/>
              <w:jc w:val="center"/>
              <w:rPr>
                <w:rFonts w:ascii="Calibri" w:hAnsi="Calibri" w:cs="Calibri"/>
                <w:color w:val="000000"/>
                <w:szCs w:val="21"/>
              </w:rPr>
            </w:pPr>
            <w:r>
              <w:rPr>
                <w:rFonts w:ascii="Calibri" w:hAnsi="Calibri" w:cs="Calibri"/>
                <w:color w:val="000000"/>
                <w:szCs w:val="21"/>
              </w:rPr>
              <w:t>44.21%</w:t>
            </w:r>
          </w:p>
        </w:tc>
      </w:tr>
    </w:tbl>
    <w:p w14:paraId="2ECEE65F" w14:textId="77777777" w:rsidR="00FF699E" w:rsidRDefault="00FF699E" w:rsidP="009A51D2">
      <w:pPr>
        <w:spacing w:before="240"/>
      </w:pPr>
    </w:p>
    <w:p w14:paraId="49022B71" w14:textId="0C1AF3A4" w:rsidR="000C3F21" w:rsidRDefault="00FF699E" w:rsidP="00E01721">
      <w:r>
        <w:t>In the calculatio</w:t>
      </w:r>
      <w:r w:rsidR="00A32F28">
        <w:t>n of the overall incidence of pneumonia (CXR-confirmed)</w:t>
      </w:r>
      <w:r w:rsidR="00753834">
        <w:t>:</w:t>
      </w:r>
    </w:p>
    <w:p w14:paraId="73980757" w14:textId="354A9A07" w:rsidR="00753834" w:rsidRDefault="00753834" w:rsidP="00753834">
      <w:pPr>
        <w:pStyle w:val="ListParagraph"/>
        <w:numPr>
          <w:ilvl w:val="0"/>
          <w:numId w:val="23"/>
        </w:numPr>
      </w:pPr>
      <w:r>
        <w:t>Among</w:t>
      </w:r>
      <w:r w:rsidR="00A32F28">
        <w:t xml:space="preserve"> 1-11 months old</w:t>
      </w:r>
      <w:r>
        <w:t>:</w:t>
      </w:r>
      <w:r w:rsidR="000C3F21">
        <w:t xml:space="preserve"> </w:t>
      </w:r>
      <w:r w:rsidR="00A32F28">
        <w:t xml:space="preserve">62.49 episodes/100 child-years (Table </w:t>
      </w:r>
      <w:r w:rsidR="003B28C7">
        <w:t>2</w:t>
      </w:r>
      <w:r w:rsidR="00A32F28">
        <w:t xml:space="preserve">) </w:t>
      </w:r>
      <w:r>
        <w:t>subtracted by the</w:t>
      </w:r>
      <w:r w:rsidR="00A32F28">
        <w:t xml:space="preserve"> proportion </w:t>
      </w:r>
      <w:r>
        <w:t xml:space="preserve">of </w:t>
      </w:r>
      <w:r w:rsidR="00A32F28">
        <w:t>other underlying conditions</w:t>
      </w:r>
      <w:r>
        <w:t xml:space="preserve"> matching clinical IMCI-pneumonia </w:t>
      </w:r>
      <w:r w:rsidR="00A32F28">
        <w:t>(malaria – 5%, diarrhoea – 5% sepsis – 2%</w:t>
      </w:r>
      <w:r w:rsidR="000C3F21">
        <w:t xml:space="preserve">) = </w:t>
      </w:r>
      <w:r>
        <w:t xml:space="preserve">54.99 episodes/100 child-years multiplied by 0.50475 (mean value of the proportion of CXR+ if 100% sensitivity and specificity for ages 1-5 and 6-11 months, Table </w:t>
      </w:r>
      <w:r w:rsidR="003B28C7">
        <w:t>3</w:t>
      </w:r>
      <w:r>
        <w:t xml:space="preserve">) = </w:t>
      </w:r>
      <w:r w:rsidRPr="00753834">
        <w:rPr>
          <w:color w:val="0070C0"/>
        </w:rPr>
        <w:t>27.756 episodes/100 child-years</w:t>
      </w:r>
    </w:p>
    <w:p w14:paraId="3A2566AF" w14:textId="13C8DAA6" w:rsidR="00753834" w:rsidRDefault="00753834" w:rsidP="00753834">
      <w:pPr>
        <w:pStyle w:val="ListParagraph"/>
        <w:numPr>
          <w:ilvl w:val="0"/>
          <w:numId w:val="23"/>
        </w:numPr>
      </w:pPr>
      <w:r>
        <w:t>Among 12-23 months old</w:t>
      </w:r>
      <w:r w:rsidR="00AB4497">
        <w:t xml:space="preserve">: </w:t>
      </w:r>
      <w:r>
        <w:t xml:space="preserve">35.02 episodes/100 child-years (Table </w:t>
      </w:r>
      <w:r w:rsidR="003B28C7">
        <w:t>2</w:t>
      </w:r>
      <w:r>
        <w:t xml:space="preserve">) subtracted by the proportion of other underlying conditions matching clinical IMCI-pneumonia (malaria – 5%, diarrhoea – 5% sepsis – 2%) = </w:t>
      </w:r>
      <w:r w:rsidR="00AB4497">
        <w:t xml:space="preserve">30.82 </w:t>
      </w:r>
      <w:r>
        <w:t xml:space="preserve">episodes/100 child-years multiplied by 0.5452 (proportion of CXR+ if 100% sensitivity and specificity, Table </w:t>
      </w:r>
      <w:r w:rsidR="003B28C7">
        <w:t>3</w:t>
      </w:r>
      <w:r>
        <w:t xml:space="preserve">) = </w:t>
      </w:r>
      <w:r w:rsidRPr="005602B9">
        <w:rPr>
          <w:color w:val="0070C0"/>
        </w:rPr>
        <w:t xml:space="preserve">16.80 </w:t>
      </w:r>
      <w:r w:rsidRPr="00753834">
        <w:rPr>
          <w:color w:val="0070C0"/>
        </w:rPr>
        <w:t>episodes/100 child-years</w:t>
      </w:r>
    </w:p>
    <w:p w14:paraId="052C804C" w14:textId="07110FC0" w:rsidR="00753834" w:rsidRDefault="00753834" w:rsidP="00753834">
      <w:pPr>
        <w:pStyle w:val="ListParagraph"/>
        <w:numPr>
          <w:ilvl w:val="0"/>
          <w:numId w:val="23"/>
        </w:numPr>
      </w:pPr>
      <w:r>
        <w:lastRenderedPageBreak/>
        <w:t>Among 24-59 months old</w:t>
      </w:r>
      <w:r w:rsidR="00AB4497">
        <w:t>:</w:t>
      </w:r>
      <w:r>
        <w:t xml:space="preserve"> 12.23 episodes/100 child-years (Table </w:t>
      </w:r>
      <w:r w:rsidR="003B28C7">
        <w:t>2</w:t>
      </w:r>
      <w:r>
        <w:t xml:space="preserve">) subtracted by the proportion of other underlying conditions matching clinical IMCI-pneumonia (malaria – 5%, diarrhoea – 5% sepsis – 2%) = </w:t>
      </w:r>
      <w:r w:rsidR="00AB4497">
        <w:t xml:space="preserve">10.76 </w:t>
      </w:r>
      <w:r>
        <w:t xml:space="preserve">episodes/100 child-years multiplied by 0.5452 (proportion of CXR+ if 100% sensitivity and specificity, Table </w:t>
      </w:r>
      <w:r w:rsidR="003B28C7">
        <w:t>3</w:t>
      </w:r>
      <w:r>
        <w:t xml:space="preserve">) = </w:t>
      </w:r>
      <w:r w:rsidRPr="005602B9">
        <w:rPr>
          <w:color w:val="0070C0"/>
        </w:rPr>
        <w:t xml:space="preserve">4.76 </w:t>
      </w:r>
      <w:r w:rsidRPr="00753834">
        <w:rPr>
          <w:color w:val="0070C0"/>
        </w:rPr>
        <w:t>episodes/100 child-years</w:t>
      </w:r>
    </w:p>
    <w:p w14:paraId="3B15D598" w14:textId="77777777" w:rsidR="006A0229" w:rsidRDefault="006A0229" w:rsidP="006A0229">
      <w:r>
        <w:t xml:space="preserve">Next, the attributable fractions of the 10 pathogens from THE PERCH is applied on these incidences to calculated pathogen-specific incidence of pneumonia by age group. By adjusting the incidence of pneumonia to those who would have a positive x-ray reading, this new incidence calculated above will reflect underlying pneumonia cases. </w:t>
      </w:r>
    </w:p>
    <w:p w14:paraId="4FB00667" w14:textId="77777777" w:rsidR="006A0229" w:rsidRDefault="006A0229" w:rsidP="006A0229">
      <w:r>
        <w:t>For the calculation of incidence of bronchiolitis, I will use the attributable fractions from PERCH for all cases (both CXR positive and negative) in their Supplementary figure 7 – then with the AFs for the 1769 CXR+ and the 3981 all cases, I can calculate the AFs for the 2212 CXR-, which would be considered bronchiolitis for those under 2 years of age, of the associated viral pathogens.</w:t>
      </w:r>
    </w:p>
    <w:p w14:paraId="46F95835" w14:textId="41FC0A78" w:rsidR="006B3B1C" w:rsidRDefault="006B3B1C" w:rsidP="00E01721">
      <w:r>
        <w:t xml:space="preserve">Below (Table </w:t>
      </w:r>
      <w:r w:rsidR="00FA3334">
        <w:t>4</w:t>
      </w:r>
      <w:r>
        <w:t>) is an example for the calculation of RSV ALRI incidence.</w:t>
      </w:r>
      <w:r w:rsidR="003B28C7">
        <w:t xml:space="preserve"> Calculations for all pathogens is displayed in Table 8.</w:t>
      </w:r>
    </w:p>
    <w:p w14:paraId="0C7AAFF6" w14:textId="27DC41FB" w:rsidR="006B3B1C" w:rsidRDefault="006B3B1C" w:rsidP="006B3B1C">
      <w:pPr>
        <w:pStyle w:val="Caption"/>
        <w:keepNext/>
      </w:pPr>
      <w:r>
        <w:t xml:space="preserve">Table </w:t>
      </w:r>
      <w:r w:rsidR="00E018E1">
        <w:fldChar w:fldCharType="begin"/>
      </w:r>
      <w:r w:rsidR="00E018E1">
        <w:instrText xml:space="preserve"> SEQ Table \* ARABIC </w:instrText>
      </w:r>
      <w:r w:rsidR="00E018E1">
        <w:fldChar w:fldCharType="separate"/>
      </w:r>
      <w:r w:rsidR="000979B2">
        <w:rPr>
          <w:noProof/>
        </w:rPr>
        <w:t>4</w:t>
      </w:r>
      <w:r w:rsidR="00E018E1">
        <w:rPr>
          <w:noProof/>
        </w:rPr>
        <w:fldChar w:fldCharType="end"/>
      </w:r>
      <w:r>
        <w:t xml:space="preserve"> - Calculation of the incidence of ALRI by RSV</w:t>
      </w:r>
      <w:r w:rsidR="003B37CD">
        <w:t xml:space="preserve"> per 100 child-years</w:t>
      </w:r>
    </w:p>
    <w:tbl>
      <w:tblPr>
        <w:tblW w:w="9552" w:type="dxa"/>
        <w:tblLook w:val="04A0" w:firstRow="1" w:lastRow="0" w:firstColumn="1" w:lastColumn="0" w:noHBand="0" w:noVBand="1"/>
      </w:tblPr>
      <w:tblGrid>
        <w:gridCol w:w="702"/>
        <w:gridCol w:w="1157"/>
        <w:gridCol w:w="1157"/>
        <w:gridCol w:w="1178"/>
        <w:gridCol w:w="1220"/>
        <w:gridCol w:w="1157"/>
        <w:gridCol w:w="1241"/>
        <w:gridCol w:w="1740"/>
      </w:tblGrid>
      <w:tr w:rsidR="006B3B1C" w:rsidRPr="00747D94" w14:paraId="3C80917A" w14:textId="77777777" w:rsidTr="00250B77">
        <w:trPr>
          <w:trHeight w:val="720"/>
        </w:trPr>
        <w:tc>
          <w:tcPr>
            <w:tcW w:w="702"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9BD25F1" w14:textId="77777777" w:rsidR="006B3B1C" w:rsidRPr="00747D94" w:rsidRDefault="006B3B1C" w:rsidP="00250B77">
            <w:pPr>
              <w:spacing w:line="240" w:lineRule="auto"/>
              <w:ind w:firstLine="0"/>
              <w:contextualSpacing w:val="0"/>
              <w:jc w:val="center"/>
              <w:rPr>
                <w:rFonts w:eastAsia="Times New Roman" w:cs="Arial"/>
                <w:color w:val="000000"/>
                <w:sz w:val="19"/>
                <w:szCs w:val="19"/>
                <w:lang w:eastAsia="en-GB"/>
              </w:rPr>
            </w:pPr>
            <w:r w:rsidRPr="00747D94">
              <w:rPr>
                <w:rFonts w:eastAsia="Times New Roman" w:cs="Arial"/>
                <w:color w:val="000000"/>
                <w:sz w:val="19"/>
                <w:szCs w:val="19"/>
                <w:lang w:eastAsia="en-GB"/>
              </w:rPr>
              <w:t>Age group</w:t>
            </w:r>
          </w:p>
        </w:tc>
        <w:tc>
          <w:tcPr>
            <w:tcW w:w="1157" w:type="dxa"/>
            <w:tcBorders>
              <w:top w:val="single" w:sz="4" w:space="0" w:color="auto"/>
              <w:left w:val="nil"/>
              <w:bottom w:val="single" w:sz="4" w:space="0" w:color="auto"/>
              <w:right w:val="nil"/>
            </w:tcBorders>
            <w:shd w:val="clear" w:color="auto" w:fill="auto"/>
            <w:vAlign w:val="center"/>
            <w:hideMark/>
          </w:tcPr>
          <w:p w14:paraId="48656385" w14:textId="77777777" w:rsidR="006B3B1C" w:rsidRPr="00747D94" w:rsidRDefault="006B3B1C" w:rsidP="00250B77">
            <w:pPr>
              <w:spacing w:line="240" w:lineRule="auto"/>
              <w:ind w:firstLine="0"/>
              <w:contextualSpacing w:val="0"/>
              <w:jc w:val="center"/>
              <w:rPr>
                <w:rFonts w:eastAsia="Times New Roman" w:cs="Arial"/>
                <w:color w:val="000000"/>
                <w:sz w:val="19"/>
                <w:szCs w:val="19"/>
                <w:lang w:eastAsia="en-GB"/>
              </w:rPr>
            </w:pPr>
            <w:r w:rsidRPr="00747D94">
              <w:rPr>
                <w:rFonts w:eastAsia="Times New Roman" w:cs="Arial"/>
                <w:color w:val="000000"/>
                <w:sz w:val="19"/>
                <w:szCs w:val="19"/>
                <w:lang w:eastAsia="en-GB"/>
              </w:rPr>
              <w:t xml:space="preserve">Total pneumonia incidence </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7BE67" w14:textId="77777777" w:rsidR="006B3B1C" w:rsidRPr="00747D94" w:rsidRDefault="006B3B1C" w:rsidP="00250B77">
            <w:pPr>
              <w:spacing w:line="240" w:lineRule="auto"/>
              <w:ind w:firstLine="0"/>
              <w:contextualSpacing w:val="0"/>
              <w:jc w:val="center"/>
              <w:rPr>
                <w:rFonts w:eastAsia="Times New Roman" w:cs="Arial"/>
                <w:color w:val="000000"/>
                <w:sz w:val="19"/>
                <w:szCs w:val="19"/>
                <w:lang w:eastAsia="en-GB"/>
              </w:rPr>
            </w:pPr>
            <w:r w:rsidRPr="00747D94">
              <w:rPr>
                <w:rFonts w:eastAsia="Times New Roman" w:cs="Arial"/>
                <w:color w:val="000000"/>
                <w:sz w:val="19"/>
                <w:szCs w:val="19"/>
                <w:lang w:eastAsia="en-GB"/>
              </w:rPr>
              <w:t>RSV attributable fraction</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6240747F" w14:textId="77777777" w:rsidR="006B3B1C" w:rsidRPr="00747D94" w:rsidRDefault="006B3B1C" w:rsidP="00250B77">
            <w:pPr>
              <w:spacing w:line="240" w:lineRule="auto"/>
              <w:ind w:firstLine="0"/>
              <w:contextualSpacing w:val="0"/>
              <w:jc w:val="center"/>
              <w:rPr>
                <w:rFonts w:eastAsia="Times New Roman" w:cs="Arial"/>
                <w:color w:val="000000"/>
                <w:sz w:val="19"/>
                <w:szCs w:val="19"/>
                <w:lang w:eastAsia="en-GB"/>
              </w:rPr>
            </w:pPr>
            <w:r w:rsidRPr="00747D94">
              <w:rPr>
                <w:rFonts w:eastAsia="Times New Roman" w:cs="Arial"/>
                <w:color w:val="000000"/>
                <w:sz w:val="19"/>
                <w:szCs w:val="19"/>
                <w:lang w:eastAsia="en-GB"/>
              </w:rPr>
              <w:t>Pneumonia incidence by RSV</w:t>
            </w:r>
          </w:p>
        </w:tc>
        <w:tc>
          <w:tcPr>
            <w:tcW w:w="1220" w:type="dxa"/>
            <w:tcBorders>
              <w:top w:val="single" w:sz="4" w:space="0" w:color="auto"/>
              <w:left w:val="nil"/>
              <w:bottom w:val="nil"/>
              <w:right w:val="nil"/>
            </w:tcBorders>
            <w:shd w:val="clear" w:color="auto" w:fill="auto"/>
            <w:vAlign w:val="center"/>
            <w:hideMark/>
          </w:tcPr>
          <w:p w14:paraId="5DC2085F" w14:textId="77777777" w:rsidR="006B3B1C" w:rsidRPr="00747D94" w:rsidRDefault="006B3B1C" w:rsidP="00250B77">
            <w:pPr>
              <w:spacing w:line="240" w:lineRule="auto"/>
              <w:ind w:firstLine="0"/>
              <w:contextualSpacing w:val="0"/>
              <w:jc w:val="center"/>
              <w:rPr>
                <w:rFonts w:eastAsia="Times New Roman" w:cs="Arial"/>
                <w:color w:val="000000"/>
                <w:sz w:val="19"/>
                <w:szCs w:val="19"/>
                <w:lang w:eastAsia="en-GB"/>
              </w:rPr>
            </w:pPr>
            <w:r w:rsidRPr="00747D94">
              <w:rPr>
                <w:rFonts w:eastAsia="Times New Roman" w:cs="Arial"/>
                <w:color w:val="000000"/>
                <w:sz w:val="19"/>
                <w:szCs w:val="19"/>
                <w:lang w:eastAsia="en-GB"/>
              </w:rPr>
              <w:t xml:space="preserve">Total bronchiolitis incidence </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8155A" w14:textId="77777777" w:rsidR="006B3B1C" w:rsidRPr="00747D94" w:rsidRDefault="006B3B1C" w:rsidP="00250B77">
            <w:pPr>
              <w:spacing w:line="240" w:lineRule="auto"/>
              <w:ind w:firstLine="0"/>
              <w:contextualSpacing w:val="0"/>
              <w:jc w:val="center"/>
              <w:rPr>
                <w:rFonts w:eastAsia="Times New Roman" w:cs="Arial"/>
                <w:color w:val="000000"/>
                <w:sz w:val="19"/>
                <w:szCs w:val="19"/>
                <w:lang w:eastAsia="en-GB"/>
              </w:rPr>
            </w:pPr>
            <w:r w:rsidRPr="00747D94">
              <w:rPr>
                <w:rFonts w:eastAsia="Times New Roman" w:cs="Arial"/>
                <w:color w:val="000000"/>
                <w:sz w:val="19"/>
                <w:szCs w:val="19"/>
                <w:lang w:eastAsia="en-GB"/>
              </w:rPr>
              <w:t>RSV attributable fraction</w:t>
            </w:r>
          </w:p>
        </w:tc>
        <w:tc>
          <w:tcPr>
            <w:tcW w:w="1241" w:type="dxa"/>
            <w:tcBorders>
              <w:top w:val="single" w:sz="4" w:space="0" w:color="auto"/>
              <w:left w:val="nil"/>
              <w:bottom w:val="nil"/>
              <w:right w:val="single" w:sz="4" w:space="0" w:color="auto"/>
            </w:tcBorders>
            <w:shd w:val="clear" w:color="auto" w:fill="auto"/>
            <w:vAlign w:val="center"/>
            <w:hideMark/>
          </w:tcPr>
          <w:p w14:paraId="51E80CAA" w14:textId="77777777" w:rsidR="006B3B1C" w:rsidRPr="00747D94" w:rsidRDefault="006B3B1C" w:rsidP="00250B77">
            <w:pPr>
              <w:spacing w:line="240" w:lineRule="auto"/>
              <w:ind w:firstLine="0"/>
              <w:contextualSpacing w:val="0"/>
              <w:jc w:val="center"/>
              <w:rPr>
                <w:rFonts w:eastAsia="Times New Roman" w:cs="Arial"/>
                <w:color w:val="000000"/>
                <w:sz w:val="19"/>
                <w:szCs w:val="19"/>
                <w:lang w:eastAsia="en-GB"/>
              </w:rPr>
            </w:pPr>
            <w:r w:rsidRPr="00747D94">
              <w:rPr>
                <w:rFonts w:eastAsia="Times New Roman" w:cs="Arial"/>
                <w:color w:val="000000"/>
                <w:sz w:val="19"/>
                <w:szCs w:val="19"/>
                <w:lang w:eastAsia="en-GB"/>
              </w:rPr>
              <w:t>Bronchiolitis incidence by RSV</w:t>
            </w:r>
          </w:p>
        </w:tc>
        <w:tc>
          <w:tcPr>
            <w:tcW w:w="1740" w:type="dxa"/>
            <w:tcBorders>
              <w:top w:val="single" w:sz="4" w:space="0" w:color="auto"/>
              <w:left w:val="nil"/>
              <w:bottom w:val="nil"/>
              <w:right w:val="single" w:sz="4" w:space="0" w:color="auto"/>
            </w:tcBorders>
            <w:shd w:val="clear" w:color="000000" w:fill="BDD7EE"/>
            <w:vAlign w:val="center"/>
            <w:hideMark/>
          </w:tcPr>
          <w:p w14:paraId="4E3AB00C" w14:textId="77777777" w:rsidR="006B3B1C" w:rsidRPr="00747D94" w:rsidRDefault="006B3B1C" w:rsidP="00250B77">
            <w:pPr>
              <w:spacing w:line="240" w:lineRule="auto"/>
              <w:ind w:firstLine="0"/>
              <w:contextualSpacing w:val="0"/>
              <w:jc w:val="center"/>
              <w:rPr>
                <w:rFonts w:eastAsia="Times New Roman" w:cs="Arial"/>
                <w:color w:val="000000"/>
                <w:sz w:val="19"/>
                <w:szCs w:val="19"/>
                <w:lang w:eastAsia="en-GB"/>
              </w:rPr>
            </w:pPr>
            <w:r w:rsidRPr="00747D94">
              <w:rPr>
                <w:rFonts w:eastAsia="Times New Roman" w:cs="Arial"/>
                <w:color w:val="000000"/>
                <w:sz w:val="19"/>
                <w:szCs w:val="19"/>
                <w:lang w:eastAsia="en-GB"/>
              </w:rPr>
              <w:t>ALRI (pneumonia + bronchiolitis) incidence by RSV</w:t>
            </w:r>
          </w:p>
        </w:tc>
      </w:tr>
      <w:tr w:rsidR="006B3B1C" w:rsidRPr="00747D94" w14:paraId="34728180" w14:textId="77777777" w:rsidTr="00250B77">
        <w:trPr>
          <w:trHeight w:val="290"/>
        </w:trPr>
        <w:tc>
          <w:tcPr>
            <w:tcW w:w="702" w:type="dxa"/>
            <w:tcBorders>
              <w:top w:val="nil"/>
              <w:left w:val="single" w:sz="4" w:space="0" w:color="auto"/>
              <w:bottom w:val="nil"/>
              <w:right w:val="single" w:sz="4" w:space="0" w:color="auto"/>
            </w:tcBorders>
            <w:shd w:val="clear" w:color="auto" w:fill="auto"/>
            <w:vAlign w:val="center"/>
            <w:hideMark/>
          </w:tcPr>
          <w:p w14:paraId="2B59DC59" w14:textId="77777777" w:rsidR="006B3B1C" w:rsidRPr="00747D94" w:rsidRDefault="006B3B1C" w:rsidP="00250B77">
            <w:pPr>
              <w:spacing w:line="240" w:lineRule="auto"/>
              <w:ind w:firstLine="0"/>
              <w:contextualSpacing w:val="0"/>
              <w:jc w:val="center"/>
              <w:rPr>
                <w:rFonts w:eastAsia="Times New Roman" w:cs="Arial"/>
                <w:color w:val="000000"/>
                <w:sz w:val="19"/>
                <w:szCs w:val="19"/>
                <w:lang w:eastAsia="en-GB"/>
              </w:rPr>
            </w:pPr>
            <w:r w:rsidRPr="00747D94">
              <w:rPr>
                <w:rFonts w:eastAsia="Times New Roman" w:cs="Arial"/>
                <w:color w:val="000000"/>
                <w:sz w:val="19"/>
                <w:szCs w:val="19"/>
                <w:lang w:eastAsia="en-GB"/>
              </w:rPr>
              <w:t>1-11</w:t>
            </w:r>
          </w:p>
        </w:tc>
        <w:tc>
          <w:tcPr>
            <w:tcW w:w="1157" w:type="dxa"/>
            <w:tcBorders>
              <w:top w:val="nil"/>
              <w:left w:val="nil"/>
              <w:bottom w:val="nil"/>
              <w:right w:val="nil"/>
            </w:tcBorders>
            <w:shd w:val="clear" w:color="auto" w:fill="auto"/>
            <w:vAlign w:val="center"/>
            <w:hideMark/>
          </w:tcPr>
          <w:p w14:paraId="316712CE" w14:textId="3637B637" w:rsidR="006B3B1C" w:rsidRPr="00747D94" w:rsidRDefault="006B3B1C" w:rsidP="00753834">
            <w:pPr>
              <w:spacing w:line="240" w:lineRule="auto"/>
              <w:ind w:firstLine="0"/>
              <w:contextualSpacing w:val="0"/>
              <w:jc w:val="center"/>
              <w:rPr>
                <w:rFonts w:eastAsia="Times New Roman" w:cs="Arial"/>
                <w:sz w:val="19"/>
                <w:szCs w:val="19"/>
                <w:lang w:eastAsia="en-GB"/>
              </w:rPr>
            </w:pPr>
            <w:r w:rsidRPr="00747D94">
              <w:rPr>
                <w:rFonts w:eastAsia="Times New Roman" w:cs="Arial"/>
                <w:sz w:val="19"/>
                <w:szCs w:val="19"/>
                <w:lang w:eastAsia="en-GB"/>
              </w:rPr>
              <w:t>27</w:t>
            </w:r>
            <w:r w:rsidR="00753834">
              <w:rPr>
                <w:rFonts w:eastAsia="Times New Roman" w:cs="Arial"/>
                <w:sz w:val="19"/>
                <w:szCs w:val="19"/>
                <w:lang w:eastAsia="en-GB"/>
              </w:rPr>
              <w:t>.76</w:t>
            </w:r>
          </w:p>
        </w:tc>
        <w:tc>
          <w:tcPr>
            <w:tcW w:w="1157" w:type="dxa"/>
            <w:tcBorders>
              <w:top w:val="nil"/>
              <w:left w:val="nil"/>
              <w:bottom w:val="nil"/>
              <w:right w:val="nil"/>
            </w:tcBorders>
            <w:shd w:val="clear" w:color="auto" w:fill="auto"/>
            <w:vAlign w:val="center"/>
            <w:hideMark/>
          </w:tcPr>
          <w:p w14:paraId="5A4945D2" w14:textId="77777777" w:rsidR="006B3B1C" w:rsidRPr="00747D94" w:rsidRDefault="006B3B1C" w:rsidP="00250B77">
            <w:pPr>
              <w:spacing w:line="240" w:lineRule="auto"/>
              <w:ind w:firstLine="0"/>
              <w:contextualSpacing w:val="0"/>
              <w:jc w:val="center"/>
              <w:rPr>
                <w:rFonts w:eastAsia="Times New Roman" w:cs="Arial"/>
                <w:sz w:val="19"/>
                <w:szCs w:val="19"/>
                <w:lang w:eastAsia="en-GB"/>
              </w:rPr>
            </w:pPr>
            <w:r w:rsidRPr="00747D94">
              <w:rPr>
                <w:rFonts w:eastAsia="Times New Roman" w:cs="Arial"/>
                <w:sz w:val="19"/>
                <w:szCs w:val="19"/>
                <w:lang w:eastAsia="en-GB"/>
              </w:rPr>
              <w:t>0.397</w:t>
            </w:r>
          </w:p>
        </w:tc>
        <w:tc>
          <w:tcPr>
            <w:tcW w:w="1178" w:type="dxa"/>
            <w:tcBorders>
              <w:top w:val="nil"/>
              <w:left w:val="nil"/>
              <w:bottom w:val="nil"/>
              <w:right w:val="nil"/>
            </w:tcBorders>
            <w:shd w:val="clear" w:color="000000" w:fill="F8CBAD"/>
            <w:noWrap/>
            <w:vAlign w:val="center"/>
            <w:hideMark/>
          </w:tcPr>
          <w:p w14:paraId="48087316" w14:textId="63865F59" w:rsidR="006B3B1C" w:rsidRPr="00747D94" w:rsidRDefault="00AB4497" w:rsidP="00AB4497">
            <w:pPr>
              <w:spacing w:line="240" w:lineRule="auto"/>
              <w:ind w:firstLine="0"/>
              <w:contextualSpacing w:val="0"/>
              <w:jc w:val="center"/>
              <w:rPr>
                <w:rFonts w:eastAsia="Times New Roman" w:cs="Arial"/>
                <w:color w:val="000000"/>
                <w:sz w:val="19"/>
                <w:szCs w:val="19"/>
                <w:lang w:eastAsia="en-GB"/>
              </w:rPr>
            </w:pPr>
            <w:r>
              <w:rPr>
                <w:rFonts w:eastAsia="Times New Roman" w:cs="Arial"/>
                <w:color w:val="000000"/>
                <w:sz w:val="19"/>
                <w:szCs w:val="19"/>
                <w:lang w:eastAsia="en-GB"/>
              </w:rPr>
              <w:t>11.02</w:t>
            </w:r>
          </w:p>
        </w:tc>
        <w:tc>
          <w:tcPr>
            <w:tcW w:w="1220" w:type="dxa"/>
            <w:tcBorders>
              <w:top w:val="single" w:sz="4" w:space="0" w:color="auto"/>
              <w:left w:val="single" w:sz="4" w:space="0" w:color="auto"/>
              <w:bottom w:val="nil"/>
              <w:right w:val="nil"/>
            </w:tcBorders>
            <w:shd w:val="clear" w:color="auto" w:fill="auto"/>
            <w:vAlign w:val="center"/>
            <w:hideMark/>
          </w:tcPr>
          <w:p w14:paraId="0733FF1E" w14:textId="3DD42253" w:rsidR="006B3B1C" w:rsidRPr="00747D94" w:rsidRDefault="00AB4497" w:rsidP="00250B77">
            <w:pPr>
              <w:spacing w:line="240" w:lineRule="auto"/>
              <w:ind w:firstLine="0"/>
              <w:contextualSpacing w:val="0"/>
              <w:jc w:val="center"/>
              <w:rPr>
                <w:rFonts w:eastAsia="Times New Roman" w:cs="Arial"/>
                <w:sz w:val="20"/>
                <w:szCs w:val="20"/>
                <w:lang w:eastAsia="en-GB"/>
              </w:rPr>
            </w:pPr>
            <w:r>
              <w:rPr>
                <w:rFonts w:eastAsia="Times New Roman" w:cs="Arial"/>
                <w:sz w:val="20"/>
                <w:szCs w:val="20"/>
                <w:lang w:eastAsia="en-GB"/>
              </w:rPr>
              <w:t>27.23</w:t>
            </w:r>
          </w:p>
        </w:tc>
        <w:tc>
          <w:tcPr>
            <w:tcW w:w="1157" w:type="dxa"/>
            <w:tcBorders>
              <w:top w:val="nil"/>
              <w:left w:val="nil"/>
              <w:bottom w:val="nil"/>
              <w:right w:val="nil"/>
            </w:tcBorders>
            <w:shd w:val="clear" w:color="auto" w:fill="auto"/>
            <w:vAlign w:val="center"/>
            <w:hideMark/>
          </w:tcPr>
          <w:p w14:paraId="70CED97E" w14:textId="77777777" w:rsidR="006B3B1C" w:rsidRPr="00747D94" w:rsidRDefault="006B3B1C" w:rsidP="00250B77">
            <w:pPr>
              <w:spacing w:line="240" w:lineRule="auto"/>
              <w:ind w:firstLine="0"/>
              <w:contextualSpacing w:val="0"/>
              <w:jc w:val="center"/>
              <w:rPr>
                <w:rFonts w:eastAsia="Times New Roman" w:cs="Arial"/>
                <w:sz w:val="19"/>
                <w:szCs w:val="19"/>
                <w:lang w:eastAsia="en-GB"/>
              </w:rPr>
            </w:pPr>
            <w:r w:rsidRPr="00747D94">
              <w:rPr>
                <w:rFonts w:eastAsia="Times New Roman" w:cs="Arial"/>
                <w:sz w:val="19"/>
                <w:szCs w:val="19"/>
                <w:lang w:eastAsia="en-GB"/>
              </w:rPr>
              <w:t>0.60</w:t>
            </w:r>
          </w:p>
        </w:tc>
        <w:tc>
          <w:tcPr>
            <w:tcW w:w="1241" w:type="dxa"/>
            <w:tcBorders>
              <w:top w:val="single" w:sz="4" w:space="0" w:color="auto"/>
              <w:left w:val="nil"/>
              <w:bottom w:val="nil"/>
              <w:right w:val="single" w:sz="4" w:space="0" w:color="auto"/>
            </w:tcBorders>
            <w:shd w:val="clear" w:color="000000" w:fill="F8CBAD"/>
            <w:noWrap/>
            <w:vAlign w:val="center"/>
            <w:hideMark/>
          </w:tcPr>
          <w:p w14:paraId="4A7AAE6F" w14:textId="56BD6376" w:rsidR="006B3B1C" w:rsidRPr="00747D94" w:rsidRDefault="00AB4497" w:rsidP="00250B77">
            <w:pPr>
              <w:spacing w:line="240" w:lineRule="auto"/>
              <w:ind w:firstLine="0"/>
              <w:contextualSpacing w:val="0"/>
              <w:jc w:val="center"/>
              <w:rPr>
                <w:rFonts w:eastAsia="Times New Roman" w:cs="Arial"/>
                <w:color w:val="000000"/>
                <w:sz w:val="19"/>
                <w:szCs w:val="19"/>
                <w:lang w:eastAsia="en-GB"/>
              </w:rPr>
            </w:pPr>
            <w:r>
              <w:rPr>
                <w:rFonts w:eastAsia="Times New Roman" w:cs="Arial"/>
                <w:color w:val="000000"/>
                <w:sz w:val="19"/>
                <w:szCs w:val="19"/>
                <w:lang w:eastAsia="en-GB"/>
              </w:rPr>
              <w:t>16.33</w:t>
            </w:r>
          </w:p>
        </w:tc>
        <w:tc>
          <w:tcPr>
            <w:tcW w:w="1740" w:type="dxa"/>
            <w:tcBorders>
              <w:top w:val="single" w:sz="4" w:space="0" w:color="auto"/>
              <w:left w:val="nil"/>
              <w:bottom w:val="nil"/>
              <w:right w:val="single" w:sz="4" w:space="0" w:color="auto"/>
            </w:tcBorders>
            <w:shd w:val="clear" w:color="000000" w:fill="F8CBAD"/>
            <w:noWrap/>
            <w:vAlign w:val="center"/>
            <w:hideMark/>
          </w:tcPr>
          <w:p w14:paraId="5F82B54F" w14:textId="675CE723" w:rsidR="006B3B1C" w:rsidRPr="00747D94" w:rsidRDefault="00AB4497" w:rsidP="00250B77">
            <w:pPr>
              <w:spacing w:line="240" w:lineRule="auto"/>
              <w:ind w:firstLine="0"/>
              <w:contextualSpacing w:val="0"/>
              <w:jc w:val="center"/>
              <w:rPr>
                <w:rFonts w:eastAsia="Times New Roman" w:cs="Arial"/>
                <w:color w:val="000000"/>
                <w:sz w:val="19"/>
                <w:szCs w:val="19"/>
                <w:lang w:eastAsia="en-GB"/>
              </w:rPr>
            </w:pPr>
            <w:r>
              <w:rPr>
                <w:rFonts w:eastAsia="Times New Roman" w:cs="Arial"/>
                <w:color w:val="000000"/>
                <w:sz w:val="19"/>
                <w:szCs w:val="19"/>
                <w:lang w:eastAsia="en-GB"/>
              </w:rPr>
              <w:t>27.35</w:t>
            </w:r>
          </w:p>
        </w:tc>
      </w:tr>
      <w:tr w:rsidR="006B3B1C" w:rsidRPr="00747D94" w14:paraId="55B8D652" w14:textId="77777777" w:rsidTr="00250B77">
        <w:trPr>
          <w:trHeight w:val="290"/>
        </w:trPr>
        <w:tc>
          <w:tcPr>
            <w:tcW w:w="702" w:type="dxa"/>
            <w:tcBorders>
              <w:top w:val="nil"/>
              <w:left w:val="single" w:sz="4" w:space="0" w:color="auto"/>
              <w:bottom w:val="nil"/>
              <w:right w:val="single" w:sz="4" w:space="0" w:color="auto"/>
            </w:tcBorders>
            <w:shd w:val="clear" w:color="auto" w:fill="auto"/>
            <w:vAlign w:val="center"/>
            <w:hideMark/>
          </w:tcPr>
          <w:p w14:paraId="27DED143" w14:textId="77777777" w:rsidR="006B3B1C" w:rsidRPr="00747D94" w:rsidRDefault="006B3B1C" w:rsidP="00250B77">
            <w:pPr>
              <w:spacing w:line="240" w:lineRule="auto"/>
              <w:ind w:firstLine="0"/>
              <w:contextualSpacing w:val="0"/>
              <w:jc w:val="center"/>
              <w:rPr>
                <w:rFonts w:eastAsia="Times New Roman" w:cs="Arial"/>
                <w:color w:val="000000"/>
                <w:sz w:val="19"/>
                <w:szCs w:val="19"/>
                <w:lang w:eastAsia="en-GB"/>
              </w:rPr>
            </w:pPr>
            <w:r w:rsidRPr="00747D94">
              <w:rPr>
                <w:rFonts w:eastAsia="Times New Roman" w:cs="Arial"/>
                <w:color w:val="000000"/>
                <w:sz w:val="19"/>
                <w:szCs w:val="19"/>
                <w:lang w:eastAsia="en-GB"/>
              </w:rPr>
              <w:t>12-23</w:t>
            </w:r>
          </w:p>
        </w:tc>
        <w:tc>
          <w:tcPr>
            <w:tcW w:w="1157" w:type="dxa"/>
            <w:tcBorders>
              <w:top w:val="nil"/>
              <w:left w:val="nil"/>
              <w:bottom w:val="nil"/>
              <w:right w:val="nil"/>
            </w:tcBorders>
            <w:shd w:val="clear" w:color="auto" w:fill="auto"/>
            <w:vAlign w:val="center"/>
            <w:hideMark/>
          </w:tcPr>
          <w:p w14:paraId="2A0EAEF0" w14:textId="700651D0" w:rsidR="006B3B1C" w:rsidRPr="00747D94" w:rsidRDefault="006B3B1C" w:rsidP="00753834">
            <w:pPr>
              <w:spacing w:line="240" w:lineRule="auto"/>
              <w:ind w:firstLine="0"/>
              <w:contextualSpacing w:val="0"/>
              <w:jc w:val="center"/>
              <w:rPr>
                <w:rFonts w:eastAsia="Times New Roman" w:cs="Arial"/>
                <w:sz w:val="19"/>
                <w:szCs w:val="19"/>
                <w:lang w:eastAsia="en-GB"/>
              </w:rPr>
            </w:pPr>
            <w:r w:rsidRPr="00747D94">
              <w:rPr>
                <w:rFonts w:eastAsia="Times New Roman" w:cs="Arial"/>
                <w:sz w:val="19"/>
                <w:szCs w:val="19"/>
                <w:lang w:eastAsia="en-GB"/>
              </w:rPr>
              <w:t>16.</w:t>
            </w:r>
            <w:r w:rsidR="00753834">
              <w:rPr>
                <w:rFonts w:eastAsia="Times New Roman" w:cs="Arial"/>
                <w:sz w:val="19"/>
                <w:szCs w:val="19"/>
                <w:lang w:eastAsia="en-GB"/>
              </w:rPr>
              <w:t>80</w:t>
            </w:r>
          </w:p>
        </w:tc>
        <w:tc>
          <w:tcPr>
            <w:tcW w:w="1157" w:type="dxa"/>
            <w:tcBorders>
              <w:top w:val="nil"/>
              <w:left w:val="nil"/>
              <w:bottom w:val="nil"/>
              <w:right w:val="nil"/>
            </w:tcBorders>
            <w:shd w:val="clear" w:color="auto" w:fill="auto"/>
            <w:vAlign w:val="center"/>
            <w:hideMark/>
          </w:tcPr>
          <w:p w14:paraId="1059FE7D" w14:textId="77777777" w:rsidR="006B3B1C" w:rsidRPr="00747D94" w:rsidRDefault="006B3B1C" w:rsidP="00250B77">
            <w:pPr>
              <w:spacing w:line="240" w:lineRule="auto"/>
              <w:ind w:firstLine="0"/>
              <w:contextualSpacing w:val="0"/>
              <w:jc w:val="center"/>
              <w:rPr>
                <w:rFonts w:eastAsia="Times New Roman" w:cs="Arial"/>
                <w:sz w:val="19"/>
                <w:szCs w:val="19"/>
                <w:lang w:eastAsia="en-GB"/>
              </w:rPr>
            </w:pPr>
            <w:r w:rsidRPr="00747D94">
              <w:rPr>
                <w:rFonts w:eastAsia="Times New Roman" w:cs="Arial"/>
                <w:sz w:val="19"/>
                <w:szCs w:val="19"/>
                <w:lang w:eastAsia="en-GB"/>
              </w:rPr>
              <w:t>0.164</w:t>
            </w:r>
          </w:p>
        </w:tc>
        <w:tc>
          <w:tcPr>
            <w:tcW w:w="1178" w:type="dxa"/>
            <w:tcBorders>
              <w:top w:val="nil"/>
              <w:left w:val="nil"/>
              <w:bottom w:val="nil"/>
              <w:right w:val="nil"/>
            </w:tcBorders>
            <w:shd w:val="clear" w:color="000000" w:fill="FFF2CC"/>
            <w:noWrap/>
            <w:vAlign w:val="center"/>
            <w:hideMark/>
          </w:tcPr>
          <w:p w14:paraId="6784B7F5" w14:textId="625EA98A" w:rsidR="006B3B1C" w:rsidRPr="00747D94" w:rsidRDefault="00AB4497" w:rsidP="00250B77">
            <w:pPr>
              <w:spacing w:line="240" w:lineRule="auto"/>
              <w:ind w:firstLine="0"/>
              <w:contextualSpacing w:val="0"/>
              <w:jc w:val="center"/>
              <w:rPr>
                <w:rFonts w:eastAsia="Times New Roman" w:cs="Arial"/>
                <w:color w:val="000000"/>
                <w:sz w:val="19"/>
                <w:szCs w:val="19"/>
                <w:lang w:eastAsia="en-GB"/>
              </w:rPr>
            </w:pPr>
            <w:r>
              <w:rPr>
                <w:rFonts w:eastAsia="Times New Roman" w:cs="Arial"/>
                <w:color w:val="000000"/>
                <w:sz w:val="19"/>
                <w:szCs w:val="19"/>
                <w:lang w:eastAsia="en-GB"/>
              </w:rPr>
              <w:t>2.75</w:t>
            </w:r>
          </w:p>
        </w:tc>
        <w:tc>
          <w:tcPr>
            <w:tcW w:w="1220" w:type="dxa"/>
            <w:tcBorders>
              <w:top w:val="nil"/>
              <w:left w:val="single" w:sz="4" w:space="0" w:color="auto"/>
              <w:bottom w:val="nil"/>
              <w:right w:val="nil"/>
            </w:tcBorders>
            <w:shd w:val="clear" w:color="auto" w:fill="auto"/>
            <w:vAlign w:val="center"/>
            <w:hideMark/>
          </w:tcPr>
          <w:p w14:paraId="699214D5" w14:textId="3884EA07" w:rsidR="006B3B1C" w:rsidRPr="00747D94" w:rsidRDefault="00AB4497" w:rsidP="00250B77">
            <w:pPr>
              <w:spacing w:line="240" w:lineRule="auto"/>
              <w:ind w:firstLine="0"/>
              <w:contextualSpacing w:val="0"/>
              <w:jc w:val="center"/>
              <w:rPr>
                <w:rFonts w:eastAsia="Times New Roman" w:cs="Arial"/>
                <w:sz w:val="20"/>
                <w:szCs w:val="20"/>
                <w:lang w:eastAsia="en-GB"/>
              </w:rPr>
            </w:pPr>
            <w:r>
              <w:rPr>
                <w:rFonts w:eastAsia="Times New Roman" w:cs="Arial"/>
                <w:sz w:val="20"/>
                <w:szCs w:val="20"/>
                <w:lang w:eastAsia="en-GB"/>
              </w:rPr>
              <w:t>14.02</w:t>
            </w:r>
          </w:p>
        </w:tc>
        <w:tc>
          <w:tcPr>
            <w:tcW w:w="1157" w:type="dxa"/>
            <w:tcBorders>
              <w:top w:val="nil"/>
              <w:left w:val="nil"/>
              <w:bottom w:val="nil"/>
              <w:right w:val="nil"/>
            </w:tcBorders>
            <w:shd w:val="clear" w:color="auto" w:fill="auto"/>
            <w:vAlign w:val="center"/>
            <w:hideMark/>
          </w:tcPr>
          <w:p w14:paraId="24361FA0" w14:textId="77777777" w:rsidR="006B3B1C" w:rsidRPr="00747D94" w:rsidRDefault="006B3B1C" w:rsidP="00250B77">
            <w:pPr>
              <w:spacing w:line="240" w:lineRule="auto"/>
              <w:ind w:firstLine="0"/>
              <w:contextualSpacing w:val="0"/>
              <w:jc w:val="center"/>
              <w:rPr>
                <w:rFonts w:eastAsia="Times New Roman" w:cs="Arial"/>
                <w:sz w:val="19"/>
                <w:szCs w:val="19"/>
                <w:lang w:eastAsia="en-GB"/>
              </w:rPr>
            </w:pPr>
            <w:r w:rsidRPr="00747D94">
              <w:rPr>
                <w:rFonts w:eastAsia="Times New Roman" w:cs="Arial"/>
                <w:sz w:val="19"/>
                <w:szCs w:val="19"/>
                <w:lang w:eastAsia="en-GB"/>
              </w:rPr>
              <w:t>0.60</w:t>
            </w:r>
          </w:p>
        </w:tc>
        <w:tc>
          <w:tcPr>
            <w:tcW w:w="1241" w:type="dxa"/>
            <w:tcBorders>
              <w:top w:val="nil"/>
              <w:left w:val="nil"/>
              <w:bottom w:val="nil"/>
              <w:right w:val="single" w:sz="4" w:space="0" w:color="auto"/>
            </w:tcBorders>
            <w:shd w:val="clear" w:color="000000" w:fill="FFF2CC"/>
            <w:noWrap/>
            <w:vAlign w:val="center"/>
            <w:hideMark/>
          </w:tcPr>
          <w:p w14:paraId="4B67F459" w14:textId="38EC823F" w:rsidR="006B3B1C" w:rsidRPr="00747D94" w:rsidRDefault="00AB4497" w:rsidP="00250B77">
            <w:pPr>
              <w:spacing w:line="240" w:lineRule="auto"/>
              <w:ind w:firstLine="0"/>
              <w:contextualSpacing w:val="0"/>
              <w:jc w:val="center"/>
              <w:rPr>
                <w:rFonts w:eastAsia="Times New Roman" w:cs="Arial"/>
                <w:color w:val="000000"/>
                <w:sz w:val="19"/>
                <w:szCs w:val="19"/>
                <w:lang w:eastAsia="en-GB"/>
              </w:rPr>
            </w:pPr>
            <w:r>
              <w:rPr>
                <w:rFonts w:eastAsia="Times New Roman" w:cs="Arial"/>
                <w:color w:val="000000"/>
                <w:sz w:val="19"/>
                <w:szCs w:val="19"/>
                <w:lang w:eastAsia="en-GB"/>
              </w:rPr>
              <w:t>8.41</w:t>
            </w:r>
          </w:p>
        </w:tc>
        <w:tc>
          <w:tcPr>
            <w:tcW w:w="1740" w:type="dxa"/>
            <w:tcBorders>
              <w:top w:val="nil"/>
              <w:left w:val="nil"/>
              <w:bottom w:val="nil"/>
              <w:right w:val="single" w:sz="4" w:space="0" w:color="auto"/>
            </w:tcBorders>
            <w:shd w:val="clear" w:color="000000" w:fill="FFF2CC"/>
            <w:noWrap/>
            <w:vAlign w:val="center"/>
            <w:hideMark/>
          </w:tcPr>
          <w:p w14:paraId="6E15CF26" w14:textId="2FB689E8" w:rsidR="006B3B1C" w:rsidRPr="00747D94" w:rsidRDefault="00AB4497" w:rsidP="00250B77">
            <w:pPr>
              <w:spacing w:line="240" w:lineRule="auto"/>
              <w:ind w:firstLine="0"/>
              <w:contextualSpacing w:val="0"/>
              <w:jc w:val="center"/>
              <w:rPr>
                <w:rFonts w:eastAsia="Times New Roman" w:cs="Arial"/>
                <w:color w:val="000000"/>
                <w:sz w:val="19"/>
                <w:szCs w:val="19"/>
                <w:lang w:eastAsia="en-GB"/>
              </w:rPr>
            </w:pPr>
            <w:r>
              <w:rPr>
                <w:rFonts w:eastAsia="Times New Roman" w:cs="Arial"/>
                <w:color w:val="000000"/>
                <w:sz w:val="19"/>
                <w:szCs w:val="19"/>
                <w:lang w:eastAsia="en-GB"/>
              </w:rPr>
              <w:t>11.16</w:t>
            </w:r>
          </w:p>
        </w:tc>
      </w:tr>
      <w:tr w:rsidR="006B3B1C" w:rsidRPr="00747D94" w14:paraId="0009AF46" w14:textId="77777777" w:rsidTr="00250B77">
        <w:trPr>
          <w:trHeight w:val="29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F02E8D3" w14:textId="77777777" w:rsidR="006B3B1C" w:rsidRPr="00747D94" w:rsidRDefault="006B3B1C" w:rsidP="00250B77">
            <w:pPr>
              <w:spacing w:line="240" w:lineRule="auto"/>
              <w:ind w:firstLine="0"/>
              <w:contextualSpacing w:val="0"/>
              <w:jc w:val="center"/>
              <w:rPr>
                <w:rFonts w:eastAsia="Times New Roman" w:cs="Arial"/>
                <w:color w:val="000000"/>
                <w:sz w:val="19"/>
                <w:szCs w:val="19"/>
                <w:lang w:eastAsia="en-GB"/>
              </w:rPr>
            </w:pPr>
            <w:r w:rsidRPr="00747D94">
              <w:rPr>
                <w:rFonts w:eastAsia="Times New Roman" w:cs="Arial"/>
                <w:color w:val="000000"/>
                <w:sz w:val="19"/>
                <w:szCs w:val="19"/>
                <w:lang w:eastAsia="en-GB"/>
              </w:rPr>
              <w:t>24-59</w:t>
            </w:r>
          </w:p>
        </w:tc>
        <w:tc>
          <w:tcPr>
            <w:tcW w:w="1157" w:type="dxa"/>
            <w:tcBorders>
              <w:top w:val="nil"/>
              <w:left w:val="nil"/>
              <w:bottom w:val="single" w:sz="4" w:space="0" w:color="auto"/>
              <w:right w:val="nil"/>
            </w:tcBorders>
            <w:shd w:val="clear" w:color="auto" w:fill="auto"/>
            <w:vAlign w:val="center"/>
            <w:hideMark/>
          </w:tcPr>
          <w:p w14:paraId="1DAAA2BF" w14:textId="6F1D3B03" w:rsidR="006B3B1C" w:rsidRPr="00747D94" w:rsidRDefault="006B3B1C" w:rsidP="00753834">
            <w:pPr>
              <w:spacing w:line="240" w:lineRule="auto"/>
              <w:ind w:firstLine="0"/>
              <w:contextualSpacing w:val="0"/>
              <w:jc w:val="center"/>
              <w:rPr>
                <w:rFonts w:eastAsia="Times New Roman" w:cs="Arial"/>
                <w:sz w:val="19"/>
                <w:szCs w:val="19"/>
                <w:lang w:eastAsia="en-GB"/>
              </w:rPr>
            </w:pPr>
            <w:r w:rsidRPr="00747D94">
              <w:rPr>
                <w:rFonts w:eastAsia="Times New Roman" w:cs="Arial"/>
                <w:sz w:val="19"/>
                <w:szCs w:val="19"/>
                <w:lang w:eastAsia="en-GB"/>
              </w:rPr>
              <w:t>4.</w:t>
            </w:r>
            <w:r w:rsidR="00753834">
              <w:rPr>
                <w:rFonts w:eastAsia="Times New Roman" w:cs="Arial"/>
                <w:sz w:val="19"/>
                <w:szCs w:val="19"/>
                <w:lang w:eastAsia="en-GB"/>
              </w:rPr>
              <w:t>76</w:t>
            </w:r>
          </w:p>
        </w:tc>
        <w:tc>
          <w:tcPr>
            <w:tcW w:w="1157" w:type="dxa"/>
            <w:tcBorders>
              <w:top w:val="nil"/>
              <w:left w:val="nil"/>
              <w:bottom w:val="single" w:sz="4" w:space="0" w:color="auto"/>
              <w:right w:val="nil"/>
            </w:tcBorders>
            <w:shd w:val="clear" w:color="auto" w:fill="auto"/>
            <w:vAlign w:val="center"/>
            <w:hideMark/>
          </w:tcPr>
          <w:p w14:paraId="363246CA" w14:textId="77777777" w:rsidR="006B3B1C" w:rsidRPr="00747D94" w:rsidRDefault="006B3B1C" w:rsidP="00250B77">
            <w:pPr>
              <w:spacing w:line="240" w:lineRule="auto"/>
              <w:ind w:firstLine="0"/>
              <w:contextualSpacing w:val="0"/>
              <w:jc w:val="center"/>
              <w:rPr>
                <w:rFonts w:eastAsia="Times New Roman" w:cs="Arial"/>
                <w:sz w:val="19"/>
                <w:szCs w:val="19"/>
                <w:lang w:eastAsia="en-GB"/>
              </w:rPr>
            </w:pPr>
            <w:r w:rsidRPr="00747D94">
              <w:rPr>
                <w:rFonts w:eastAsia="Times New Roman" w:cs="Arial"/>
                <w:sz w:val="19"/>
                <w:szCs w:val="19"/>
                <w:lang w:eastAsia="en-GB"/>
              </w:rPr>
              <w:t>0.165</w:t>
            </w:r>
          </w:p>
        </w:tc>
        <w:tc>
          <w:tcPr>
            <w:tcW w:w="1178" w:type="dxa"/>
            <w:tcBorders>
              <w:top w:val="nil"/>
              <w:left w:val="nil"/>
              <w:bottom w:val="single" w:sz="4" w:space="0" w:color="auto"/>
              <w:right w:val="nil"/>
            </w:tcBorders>
            <w:shd w:val="clear" w:color="000000" w:fill="E2EFDA"/>
            <w:noWrap/>
            <w:vAlign w:val="center"/>
            <w:hideMark/>
          </w:tcPr>
          <w:p w14:paraId="41D27F36" w14:textId="119F83E6" w:rsidR="006B3B1C" w:rsidRPr="00747D94" w:rsidRDefault="006B3B1C" w:rsidP="00AB4497">
            <w:pPr>
              <w:spacing w:line="240" w:lineRule="auto"/>
              <w:ind w:firstLine="0"/>
              <w:contextualSpacing w:val="0"/>
              <w:jc w:val="center"/>
              <w:rPr>
                <w:rFonts w:eastAsia="Times New Roman" w:cs="Arial"/>
                <w:color w:val="000000"/>
                <w:sz w:val="19"/>
                <w:szCs w:val="19"/>
                <w:lang w:eastAsia="en-GB"/>
              </w:rPr>
            </w:pPr>
            <w:r w:rsidRPr="00747D94">
              <w:rPr>
                <w:rFonts w:eastAsia="Times New Roman" w:cs="Arial"/>
                <w:color w:val="000000"/>
                <w:sz w:val="19"/>
                <w:szCs w:val="19"/>
                <w:lang w:eastAsia="en-GB"/>
              </w:rPr>
              <w:t>0.</w:t>
            </w:r>
            <w:r w:rsidR="00AB4497">
              <w:rPr>
                <w:rFonts w:eastAsia="Times New Roman" w:cs="Arial"/>
                <w:color w:val="000000"/>
                <w:sz w:val="19"/>
                <w:szCs w:val="19"/>
                <w:lang w:eastAsia="en-GB"/>
              </w:rPr>
              <w:t>78</w:t>
            </w:r>
          </w:p>
        </w:tc>
        <w:tc>
          <w:tcPr>
            <w:tcW w:w="1220" w:type="dxa"/>
            <w:tcBorders>
              <w:top w:val="nil"/>
              <w:left w:val="single" w:sz="4" w:space="0" w:color="auto"/>
              <w:bottom w:val="single" w:sz="4" w:space="0" w:color="auto"/>
              <w:right w:val="nil"/>
            </w:tcBorders>
            <w:shd w:val="clear" w:color="auto" w:fill="auto"/>
            <w:vAlign w:val="center"/>
            <w:hideMark/>
          </w:tcPr>
          <w:p w14:paraId="43670D90" w14:textId="77777777" w:rsidR="006B3B1C" w:rsidRPr="00747D94" w:rsidRDefault="006B3B1C" w:rsidP="00250B77">
            <w:pPr>
              <w:spacing w:line="240" w:lineRule="auto"/>
              <w:ind w:firstLine="0"/>
              <w:contextualSpacing w:val="0"/>
              <w:jc w:val="center"/>
              <w:rPr>
                <w:rFonts w:eastAsia="Times New Roman" w:cs="Arial"/>
                <w:sz w:val="19"/>
                <w:szCs w:val="19"/>
                <w:lang w:eastAsia="en-GB"/>
              </w:rPr>
            </w:pPr>
            <w:r w:rsidRPr="00747D94">
              <w:rPr>
                <w:rFonts w:eastAsia="Times New Roman" w:cs="Arial"/>
                <w:sz w:val="19"/>
                <w:szCs w:val="19"/>
                <w:lang w:eastAsia="en-GB"/>
              </w:rPr>
              <w:t>-</w:t>
            </w:r>
          </w:p>
        </w:tc>
        <w:tc>
          <w:tcPr>
            <w:tcW w:w="1157" w:type="dxa"/>
            <w:tcBorders>
              <w:top w:val="nil"/>
              <w:left w:val="nil"/>
              <w:bottom w:val="single" w:sz="4" w:space="0" w:color="auto"/>
              <w:right w:val="nil"/>
            </w:tcBorders>
            <w:shd w:val="clear" w:color="auto" w:fill="auto"/>
            <w:vAlign w:val="center"/>
            <w:hideMark/>
          </w:tcPr>
          <w:p w14:paraId="63802A12" w14:textId="77777777" w:rsidR="006B3B1C" w:rsidRPr="00747D94" w:rsidRDefault="006B3B1C" w:rsidP="00250B77">
            <w:pPr>
              <w:spacing w:line="240" w:lineRule="auto"/>
              <w:ind w:firstLine="0"/>
              <w:contextualSpacing w:val="0"/>
              <w:jc w:val="center"/>
              <w:rPr>
                <w:rFonts w:eastAsia="Times New Roman" w:cs="Arial"/>
                <w:sz w:val="19"/>
                <w:szCs w:val="19"/>
                <w:lang w:eastAsia="en-GB"/>
              </w:rPr>
            </w:pPr>
            <w:r w:rsidRPr="00747D94">
              <w:rPr>
                <w:rFonts w:eastAsia="Times New Roman" w:cs="Arial"/>
                <w:sz w:val="19"/>
                <w:szCs w:val="19"/>
                <w:lang w:eastAsia="en-GB"/>
              </w:rPr>
              <w:t>-</w:t>
            </w:r>
          </w:p>
        </w:tc>
        <w:tc>
          <w:tcPr>
            <w:tcW w:w="1241" w:type="dxa"/>
            <w:tcBorders>
              <w:top w:val="nil"/>
              <w:left w:val="nil"/>
              <w:bottom w:val="single" w:sz="4" w:space="0" w:color="auto"/>
              <w:right w:val="single" w:sz="4" w:space="0" w:color="auto"/>
            </w:tcBorders>
            <w:shd w:val="clear" w:color="auto" w:fill="auto"/>
            <w:noWrap/>
            <w:vAlign w:val="center"/>
            <w:hideMark/>
          </w:tcPr>
          <w:p w14:paraId="46DAEFCC" w14:textId="77777777" w:rsidR="006B3B1C" w:rsidRPr="00747D94" w:rsidRDefault="006B3B1C" w:rsidP="00250B77">
            <w:pPr>
              <w:spacing w:line="240" w:lineRule="auto"/>
              <w:ind w:firstLine="0"/>
              <w:contextualSpacing w:val="0"/>
              <w:jc w:val="center"/>
              <w:rPr>
                <w:rFonts w:eastAsia="Times New Roman" w:cs="Arial"/>
                <w:color w:val="000000"/>
                <w:sz w:val="19"/>
                <w:szCs w:val="19"/>
                <w:lang w:eastAsia="en-GB"/>
              </w:rPr>
            </w:pPr>
            <w:r w:rsidRPr="00747D94">
              <w:rPr>
                <w:rFonts w:eastAsia="Times New Roman" w:cs="Arial"/>
                <w:color w:val="000000"/>
                <w:sz w:val="19"/>
                <w:szCs w:val="19"/>
                <w:lang w:eastAsia="en-GB"/>
              </w:rPr>
              <w:t>-</w:t>
            </w:r>
          </w:p>
        </w:tc>
        <w:tc>
          <w:tcPr>
            <w:tcW w:w="1740" w:type="dxa"/>
            <w:tcBorders>
              <w:top w:val="nil"/>
              <w:left w:val="nil"/>
              <w:bottom w:val="single" w:sz="4" w:space="0" w:color="auto"/>
              <w:right w:val="single" w:sz="4" w:space="0" w:color="auto"/>
            </w:tcBorders>
            <w:shd w:val="clear" w:color="000000" w:fill="E2EFDA"/>
            <w:noWrap/>
            <w:vAlign w:val="center"/>
            <w:hideMark/>
          </w:tcPr>
          <w:p w14:paraId="582E373B" w14:textId="373AEC9B" w:rsidR="006B3B1C" w:rsidRPr="00747D94" w:rsidRDefault="006B3B1C" w:rsidP="00AB4497">
            <w:pPr>
              <w:spacing w:line="240" w:lineRule="auto"/>
              <w:ind w:firstLine="0"/>
              <w:contextualSpacing w:val="0"/>
              <w:jc w:val="center"/>
              <w:rPr>
                <w:rFonts w:eastAsia="Times New Roman" w:cs="Arial"/>
                <w:color w:val="000000"/>
                <w:sz w:val="19"/>
                <w:szCs w:val="19"/>
                <w:lang w:eastAsia="en-GB"/>
              </w:rPr>
            </w:pPr>
            <w:r w:rsidRPr="00747D94">
              <w:rPr>
                <w:rFonts w:eastAsia="Times New Roman" w:cs="Arial"/>
                <w:color w:val="000000"/>
                <w:sz w:val="19"/>
                <w:szCs w:val="19"/>
                <w:lang w:eastAsia="en-GB"/>
              </w:rPr>
              <w:t>0.</w:t>
            </w:r>
            <w:r w:rsidR="00AB4497">
              <w:rPr>
                <w:rFonts w:eastAsia="Times New Roman" w:cs="Arial"/>
                <w:color w:val="000000"/>
                <w:sz w:val="19"/>
                <w:szCs w:val="19"/>
                <w:lang w:eastAsia="en-GB"/>
              </w:rPr>
              <w:t>78</w:t>
            </w:r>
          </w:p>
        </w:tc>
      </w:tr>
    </w:tbl>
    <w:p w14:paraId="225EFF0F" w14:textId="68124BD0" w:rsidR="006B3B1C" w:rsidRDefault="006B3B1C" w:rsidP="006B3B1C">
      <w:pPr>
        <w:spacing w:line="240" w:lineRule="auto"/>
        <w:ind w:firstLine="0"/>
        <w:rPr>
          <w:rStyle w:val="SubtleReference"/>
          <w:szCs w:val="19"/>
        </w:rPr>
      </w:pPr>
      <w:r>
        <w:rPr>
          <w:rStyle w:val="SubtleReference"/>
          <w:szCs w:val="19"/>
        </w:rPr>
        <w:t>Total pneumonia incidence and total bronchiolitis incidence is derived from the McCollum E. et al.</w:t>
      </w:r>
      <w:r w:rsidR="00FA3334">
        <w:rPr>
          <w:rStyle w:val="SubtleReference"/>
          <w:szCs w:val="19"/>
        </w:rPr>
        <w:t>,</w:t>
      </w:r>
      <w:r>
        <w:rPr>
          <w:rStyle w:val="SubtleReference"/>
          <w:szCs w:val="19"/>
        </w:rPr>
        <w:t xml:space="preserve"> 2014 study in Malawi.</w:t>
      </w:r>
    </w:p>
    <w:p w14:paraId="2466646C" w14:textId="40B4ED78" w:rsidR="006B3B1C" w:rsidRDefault="006B3B1C" w:rsidP="006B3B1C">
      <w:pPr>
        <w:spacing w:line="240" w:lineRule="auto"/>
        <w:ind w:firstLine="0"/>
        <w:rPr>
          <w:rStyle w:val="SubtleReference"/>
          <w:szCs w:val="19"/>
        </w:rPr>
      </w:pPr>
      <w:r w:rsidRPr="003A09E6">
        <w:rPr>
          <w:rStyle w:val="SubtleReference"/>
          <w:szCs w:val="19"/>
        </w:rPr>
        <w:t>Attributable fraction (AF) of RSV for the incidence of pneumonia is informed by the PERCH study results; the AF of RSV for bronchiolitis incidence is a dummy value, will be updated with suitable data.</w:t>
      </w:r>
    </w:p>
    <w:p w14:paraId="7806DBC6" w14:textId="3A2A2A33" w:rsidR="00FA3334" w:rsidRDefault="00FA3334" w:rsidP="006B3B1C">
      <w:pPr>
        <w:spacing w:line="240" w:lineRule="auto"/>
        <w:ind w:firstLine="0"/>
        <w:rPr>
          <w:rStyle w:val="SubtleReference"/>
          <w:szCs w:val="19"/>
        </w:rPr>
      </w:pPr>
    </w:p>
    <w:p w14:paraId="0A8E9543" w14:textId="4EA4A5B6" w:rsidR="000979B2" w:rsidRDefault="00FA3334" w:rsidP="000979B2">
      <w:r>
        <w:t>A limitation that need to be addressed here is the proportions in table 3 reflect only for ‘severe’’ and ‘very severe’ cases by the WHO IMCI definition, ‘non-severe’ would have a lower proportion of underlying pneumonia cases – I will use McCollum E</w:t>
      </w:r>
      <w:r w:rsidRPr="00FA3334">
        <w:t>. et al.</w:t>
      </w:r>
      <w:r>
        <w:t>,</w:t>
      </w:r>
      <w:r w:rsidRPr="00FA3334">
        <w:t xml:space="preserve"> 2014  data</w:t>
      </w:r>
      <w:r>
        <w:t xml:space="preserve"> to extract the number of cases that were ‘non-severe’, ‘severe’ and ‘very severe’, apply the proportions of CXR+ for each severity level (assuming 14% CXR+ among ‘non-severe’ pneumonia) and only then, calculate the incidences of ‘true’ pneumonia.</w:t>
      </w:r>
    </w:p>
    <w:p w14:paraId="06AF97FA" w14:textId="416E4CBF" w:rsidR="000979B2" w:rsidRPr="00FA3334" w:rsidRDefault="000979B2" w:rsidP="000979B2">
      <w:pPr>
        <w:ind w:firstLine="0"/>
      </w:pPr>
    </w:p>
    <w:p w14:paraId="098FF15B" w14:textId="1CF89E6E" w:rsidR="004D0EC8" w:rsidRDefault="004D0EC8" w:rsidP="00F03A1D">
      <w:r>
        <w:br w:type="page"/>
      </w:r>
    </w:p>
    <w:p w14:paraId="13EAC8D5" w14:textId="77777777" w:rsidR="004D0EC8" w:rsidRDefault="004D0EC8" w:rsidP="004D0EC8">
      <w:pPr>
        <w:pStyle w:val="Caption"/>
        <w:keepNext/>
        <w:sectPr w:rsidR="004D0EC8" w:rsidSect="00EA643B">
          <w:pgSz w:w="11906" w:h="16838"/>
          <w:pgMar w:top="720" w:right="720" w:bottom="720" w:left="720" w:header="709" w:footer="709" w:gutter="0"/>
          <w:cols w:space="708"/>
          <w:docGrid w:linePitch="360"/>
        </w:sectPr>
      </w:pPr>
    </w:p>
    <w:p w14:paraId="04D7B891" w14:textId="1F1A2265" w:rsidR="000979B2" w:rsidRDefault="000979B2" w:rsidP="000979B2">
      <w:pPr>
        <w:pStyle w:val="Caption"/>
        <w:keepNext/>
      </w:pPr>
      <w:r>
        <w:lastRenderedPageBreak/>
        <w:t xml:space="preserve">Table </w:t>
      </w:r>
      <w:r w:rsidR="00E018E1">
        <w:fldChar w:fldCharType="begin"/>
      </w:r>
      <w:r w:rsidR="00E018E1">
        <w:instrText xml:space="preserve"> SEQ Table \* ARABIC </w:instrText>
      </w:r>
      <w:r w:rsidR="00E018E1">
        <w:fldChar w:fldCharType="separate"/>
      </w:r>
      <w:r>
        <w:rPr>
          <w:noProof/>
        </w:rPr>
        <w:t>5</w:t>
      </w:r>
      <w:r w:rsidR="00E018E1">
        <w:rPr>
          <w:noProof/>
        </w:rPr>
        <w:fldChar w:fldCharType="end"/>
      </w:r>
      <w:r>
        <w:t xml:space="preserve"> - </w:t>
      </w:r>
      <w:r w:rsidRPr="00AE778F">
        <w:t>Calculation of ALRI incidence by pathogen by age group</w:t>
      </w:r>
    </w:p>
    <w:tbl>
      <w:tblPr>
        <w:tblW w:w="13767" w:type="dxa"/>
        <w:tblLook w:val="04A0" w:firstRow="1" w:lastRow="0" w:firstColumn="1" w:lastColumn="0" w:noHBand="0" w:noVBand="1"/>
      </w:tblPr>
      <w:tblGrid>
        <w:gridCol w:w="1617"/>
        <w:gridCol w:w="740"/>
        <w:gridCol w:w="1073"/>
        <w:gridCol w:w="740"/>
        <w:gridCol w:w="1073"/>
        <w:gridCol w:w="740"/>
        <w:gridCol w:w="1073"/>
        <w:gridCol w:w="606"/>
        <w:gridCol w:w="1140"/>
        <w:gridCol w:w="606"/>
        <w:gridCol w:w="1140"/>
        <w:gridCol w:w="1073"/>
        <w:gridCol w:w="1073"/>
        <w:gridCol w:w="1073"/>
      </w:tblGrid>
      <w:tr w:rsidR="00987E86" w:rsidRPr="00987E86" w14:paraId="33C20B36" w14:textId="77777777" w:rsidTr="00987E86">
        <w:trPr>
          <w:trHeight w:val="390"/>
        </w:trPr>
        <w:tc>
          <w:tcPr>
            <w:tcW w:w="1617" w:type="dxa"/>
            <w:tcBorders>
              <w:top w:val="nil"/>
              <w:left w:val="nil"/>
              <w:bottom w:val="nil"/>
              <w:right w:val="nil"/>
            </w:tcBorders>
            <w:shd w:val="clear" w:color="auto" w:fill="auto"/>
            <w:noWrap/>
            <w:vAlign w:val="center"/>
            <w:hideMark/>
          </w:tcPr>
          <w:p w14:paraId="07F2E4AB" w14:textId="77777777" w:rsidR="00987E86" w:rsidRPr="00987E86" w:rsidRDefault="00987E86" w:rsidP="00987E86">
            <w:pPr>
              <w:spacing w:after="0" w:line="240" w:lineRule="auto"/>
              <w:ind w:firstLine="0"/>
              <w:contextualSpacing w:val="0"/>
              <w:jc w:val="left"/>
              <w:rPr>
                <w:rFonts w:ascii="Times New Roman" w:eastAsia="Times New Roman" w:hAnsi="Times New Roman" w:cs="Times New Roman"/>
                <w:sz w:val="24"/>
                <w:szCs w:val="24"/>
                <w:lang w:eastAsia="en-GB"/>
              </w:rPr>
            </w:pPr>
          </w:p>
        </w:tc>
        <w:tc>
          <w:tcPr>
            <w:tcW w:w="543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C3B2833" w14:textId="77777777" w:rsidR="00987E86" w:rsidRPr="00987E86" w:rsidRDefault="00987E86" w:rsidP="00987E86">
            <w:pPr>
              <w:spacing w:after="0" w:line="240" w:lineRule="auto"/>
              <w:ind w:firstLine="0"/>
              <w:contextualSpacing w:val="0"/>
              <w:jc w:val="center"/>
              <w:rPr>
                <w:rFonts w:eastAsia="Times New Roman" w:cs="Arial"/>
                <w:b/>
                <w:bCs/>
                <w:color w:val="0070C0"/>
                <w:sz w:val="20"/>
                <w:szCs w:val="20"/>
                <w:lang w:eastAsia="en-GB"/>
              </w:rPr>
            </w:pPr>
            <w:r w:rsidRPr="00987E86">
              <w:rPr>
                <w:rFonts w:eastAsia="Times New Roman" w:cs="Arial"/>
                <w:b/>
                <w:bCs/>
                <w:color w:val="0070C0"/>
                <w:sz w:val="20"/>
                <w:szCs w:val="20"/>
                <w:lang w:eastAsia="en-GB"/>
              </w:rPr>
              <w:t>Pneumonia</w:t>
            </w:r>
          </w:p>
        </w:tc>
        <w:tc>
          <w:tcPr>
            <w:tcW w:w="3492" w:type="dxa"/>
            <w:gridSpan w:val="4"/>
            <w:tcBorders>
              <w:top w:val="single" w:sz="4" w:space="0" w:color="auto"/>
              <w:left w:val="nil"/>
              <w:bottom w:val="single" w:sz="4" w:space="0" w:color="auto"/>
              <w:right w:val="single" w:sz="4" w:space="0" w:color="000000"/>
            </w:tcBorders>
            <w:shd w:val="clear" w:color="auto" w:fill="auto"/>
            <w:vAlign w:val="center"/>
            <w:hideMark/>
          </w:tcPr>
          <w:p w14:paraId="5481E938" w14:textId="77777777" w:rsidR="00987E86" w:rsidRPr="00987E86" w:rsidRDefault="00987E86" w:rsidP="00987E86">
            <w:pPr>
              <w:spacing w:after="0" w:line="240" w:lineRule="auto"/>
              <w:ind w:firstLine="0"/>
              <w:contextualSpacing w:val="0"/>
              <w:jc w:val="center"/>
              <w:rPr>
                <w:rFonts w:eastAsia="Times New Roman" w:cs="Arial"/>
                <w:b/>
                <w:bCs/>
                <w:color w:val="00B050"/>
                <w:sz w:val="20"/>
                <w:szCs w:val="20"/>
                <w:lang w:eastAsia="en-GB"/>
              </w:rPr>
            </w:pPr>
            <w:r w:rsidRPr="00987E86">
              <w:rPr>
                <w:rFonts w:eastAsia="Times New Roman" w:cs="Arial"/>
                <w:b/>
                <w:bCs/>
                <w:color w:val="00B050"/>
                <w:sz w:val="20"/>
                <w:szCs w:val="20"/>
                <w:lang w:eastAsia="en-GB"/>
              </w:rPr>
              <w:t>Bronchiolitis</w:t>
            </w:r>
          </w:p>
        </w:tc>
        <w:tc>
          <w:tcPr>
            <w:tcW w:w="3219" w:type="dxa"/>
            <w:gridSpan w:val="3"/>
            <w:tcBorders>
              <w:top w:val="single" w:sz="4" w:space="0" w:color="auto"/>
              <w:left w:val="nil"/>
              <w:bottom w:val="single" w:sz="4" w:space="0" w:color="auto"/>
              <w:right w:val="single" w:sz="4" w:space="0" w:color="000000"/>
            </w:tcBorders>
            <w:shd w:val="clear" w:color="000000" w:fill="D9E1F2"/>
            <w:vAlign w:val="center"/>
            <w:hideMark/>
          </w:tcPr>
          <w:p w14:paraId="16DCE822" w14:textId="77777777" w:rsidR="00987E86" w:rsidRPr="00987E86" w:rsidRDefault="00987E86" w:rsidP="00987E86">
            <w:pPr>
              <w:spacing w:after="0" w:line="240" w:lineRule="auto"/>
              <w:ind w:firstLine="0"/>
              <w:contextualSpacing w:val="0"/>
              <w:jc w:val="center"/>
              <w:rPr>
                <w:rFonts w:eastAsia="Times New Roman" w:cs="Arial"/>
                <w:b/>
                <w:bCs/>
                <w:color w:val="000000"/>
                <w:sz w:val="20"/>
                <w:szCs w:val="20"/>
                <w:lang w:eastAsia="en-GB"/>
              </w:rPr>
            </w:pPr>
            <w:r w:rsidRPr="00987E86">
              <w:rPr>
                <w:rFonts w:eastAsia="Times New Roman" w:cs="Arial"/>
                <w:b/>
                <w:bCs/>
                <w:color w:val="000000"/>
                <w:sz w:val="20"/>
                <w:szCs w:val="20"/>
                <w:lang w:eastAsia="en-GB"/>
              </w:rPr>
              <w:t>Total ALRI</w:t>
            </w:r>
          </w:p>
        </w:tc>
      </w:tr>
      <w:tr w:rsidR="00987E86" w:rsidRPr="00987E86" w14:paraId="05DEAD16" w14:textId="77777777" w:rsidTr="00987E86">
        <w:trPr>
          <w:trHeight w:val="290"/>
        </w:trPr>
        <w:tc>
          <w:tcPr>
            <w:tcW w:w="1617" w:type="dxa"/>
            <w:tcBorders>
              <w:top w:val="single" w:sz="4" w:space="0" w:color="auto"/>
              <w:left w:val="single" w:sz="4" w:space="0" w:color="auto"/>
              <w:bottom w:val="nil"/>
              <w:right w:val="single" w:sz="4" w:space="0" w:color="auto"/>
            </w:tcBorders>
            <w:shd w:val="clear" w:color="000000" w:fill="FFF2CC"/>
            <w:vAlign w:val="center"/>
            <w:hideMark/>
          </w:tcPr>
          <w:p w14:paraId="3634EC90" w14:textId="77777777" w:rsidR="00987E86" w:rsidRPr="00987E86" w:rsidRDefault="00987E86" w:rsidP="00987E86">
            <w:pPr>
              <w:spacing w:after="0" w:line="240" w:lineRule="auto"/>
              <w:ind w:firstLine="0"/>
              <w:contextualSpacing w:val="0"/>
              <w:jc w:val="left"/>
              <w:rPr>
                <w:rFonts w:eastAsia="Times New Roman" w:cs="Arial"/>
                <w:color w:val="000000"/>
                <w:sz w:val="20"/>
                <w:szCs w:val="20"/>
                <w:lang w:eastAsia="en-GB"/>
              </w:rPr>
            </w:pPr>
            <w:r w:rsidRPr="00987E86">
              <w:rPr>
                <w:rFonts w:eastAsia="Times New Roman" w:cs="Arial"/>
                <w:color w:val="000000"/>
                <w:sz w:val="20"/>
                <w:szCs w:val="20"/>
                <w:lang w:eastAsia="en-GB"/>
              </w:rPr>
              <w:t>Age group</w:t>
            </w:r>
          </w:p>
        </w:tc>
        <w:tc>
          <w:tcPr>
            <w:tcW w:w="1813" w:type="dxa"/>
            <w:gridSpan w:val="2"/>
            <w:tcBorders>
              <w:top w:val="single" w:sz="4" w:space="0" w:color="auto"/>
              <w:left w:val="nil"/>
              <w:bottom w:val="single" w:sz="4" w:space="0" w:color="auto"/>
              <w:right w:val="single" w:sz="4" w:space="0" w:color="000000"/>
            </w:tcBorders>
            <w:shd w:val="clear" w:color="auto" w:fill="auto"/>
            <w:vAlign w:val="center"/>
            <w:hideMark/>
          </w:tcPr>
          <w:p w14:paraId="276410E7"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1-11</w:t>
            </w:r>
          </w:p>
        </w:tc>
        <w:tc>
          <w:tcPr>
            <w:tcW w:w="1813" w:type="dxa"/>
            <w:gridSpan w:val="2"/>
            <w:tcBorders>
              <w:top w:val="single" w:sz="4" w:space="0" w:color="auto"/>
              <w:left w:val="nil"/>
              <w:bottom w:val="single" w:sz="4" w:space="0" w:color="auto"/>
              <w:right w:val="single" w:sz="4" w:space="0" w:color="000000"/>
            </w:tcBorders>
            <w:shd w:val="clear" w:color="auto" w:fill="auto"/>
            <w:vAlign w:val="center"/>
            <w:hideMark/>
          </w:tcPr>
          <w:p w14:paraId="44E9376C"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12-23</w:t>
            </w:r>
          </w:p>
        </w:tc>
        <w:tc>
          <w:tcPr>
            <w:tcW w:w="1813" w:type="dxa"/>
            <w:gridSpan w:val="2"/>
            <w:tcBorders>
              <w:top w:val="single" w:sz="4" w:space="0" w:color="auto"/>
              <w:left w:val="nil"/>
              <w:bottom w:val="single" w:sz="4" w:space="0" w:color="auto"/>
              <w:right w:val="single" w:sz="4" w:space="0" w:color="000000"/>
            </w:tcBorders>
            <w:shd w:val="clear" w:color="auto" w:fill="auto"/>
            <w:vAlign w:val="center"/>
            <w:hideMark/>
          </w:tcPr>
          <w:p w14:paraId="42000B57"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24-59</w:t>
            </w:r>
          </w:p>
        </w:tc>
        <w:tc>
          <w:tcPr>
            <w:tcW w:w="1746" w:type="dxa"/>
            <w:gridSpan w:val="2"/>
            <w:tcBorders>
              <w:top w:val="single" w:sz="4" w:space="0" w:color="auto"/>
              <w:left w:val="nil"/>
              <w:bottom w:val="single" w:sz="4" w:space="0" w:color="auto"/>
              <w:right w:val="single" w:sz="4" w:space="0" w:color="000000"/>
            </w:tcBorders>
            <w:shd w:val="clear" w:color="auto" w:fill="auto"/>
            <w:vAlign w:val="center"/>
            <w:hideMark/>
          </w:tcPr>
          <w:p w14:paraId="16BFF208"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1-11</w:t>
            </w:r>
          </w:p>
        </w:tc>
        <w:tc>
          <w:tcPr>
            <w:tcW w:w="1746" w:type="dxa"/>
            <w:gridSpan w:val="2"/>
            <w:tcBorders>
              <w:top w:val="single" w:sz="4" w:space="0" w:color="auto"/>
              <w:left w:val="nil"/>
              <w:bottom w:val="single" w:sz="4" w:space="0" w:color="auto"/>
              <w:right w:val="single" w:sz="4" w:space="0" w:color="000000"/>
            </w:tcBorders>
            <w:shd w:val="clear" w:color="auto" w:fill="auto"/>
            <w:vAlign w:val="center"/>
            <w:hideMark/>
          </w:tcPr>
          <w:p w14:paraId="5CB4E62F"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12-23</w:t>
            </w:r>
          </w:p>
        </w:tc>
        <w:tc>
          <w:tcPr>
            <w:tcW w:w="1073" w:type="dxa"/>
            <w:tcBorders>
              <w:top w:val="nil"/>
              <w:left w:val="nil"/>
              <w:bottom w:val="nil"/>
              <w:right w:val="single" w:sz="4" w:space="0" w:color="auto"/>
            </w:tcBorders>
            <w:shd w:val="clear" w:color="000000" w:fill="E2EFDA"/>
            <w:vAlign w:val="center"/>
            <w:hideMark/>
          </w:tcPr>
          <w:p w14:paraId="22EF8BA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1-11</w:t>
            </w:r>
          </w:p>
        </w:tc>
        <w:tc>
          <w:tcPr>
            <w:tcW w:w="1073" w:type="dxa"/>
            <w:tcBorders>
              <w:top w:val="nil"/>
              <w:left w:val="nil"/>
              <w:bottom w:val="nil"/>
              <w:right w:val="single" w:sz="4" w:space="0" w:color="auto"/>
            </w:tcBorders>
            <w:shd w:val="clear" w:color="000000" w:fill="E2EFDA"/>
            <w:vAlign w:val="center"/>
            <w:hideMark/>
          </w:tcPr>
          <w:p w14:paraId="5ACCE200"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12-23</w:t>
            </w:r>
          </w:p>
        </w:tc>
        <w:tc>
          <w:tcPr>
            <w:tcW w:w="1073" w:type="dxa"/>
            <w:tcBorders>
              <w:top w:val="nil"/>
              <w:left w:val="nil"/>
              <w:bottom w:val="nil"/>
              <w:right w:val="single" w:sz="4" w:space="0" w:color="auto"/>
            </w:tcBorders>
            <w:shd w:val="clear" w:color="000000" w:fill="E2EFDA"/>
            <w:vAlign w:val="center"/>
            <w:hideMark/>
          </w:tcPr>
          <w:p w14:paraId="01070886"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24-59</w:t>
            </w:r>
          </w:p>
        </w:tc>
      </w:tr>
      <w:tr w:rsidR="00987E86" w:rsidRPr="00987E86" w14:paraId="4634E09A" w14:textId="77777777" w:rsidTr="00987E86">
        <w:trPr>
          <w:trHeight w:val="290"/>
        </w:trPr>
        <w:tc>
          <w:tcPr>
            <w:tcW w:w="1617" w:type="dxa"/>
            <w:tcBorders>
              <w:top w:val="nil"/>
              <w:left w:val="single" w:sz="4" w:space="0" w:color="auto"/>
              <w:bottom w:val="nil"/>
              <w:right w:val="single" w:sz="4" w:space="0" w:color="auto"/>
            </w:tcBorders>
            <w:shd w:val="clear" w:color="000000" w:fill="A9D08E"/>
            <w:noWrap/>
            <w:vAlign w:val="center"/>
            <w:hideMark/>
          </w:tcPr>
          <w:p w14:paraId="4AA2E582" w14:textId="77777777" w:rsidR="00987E86" w:rsidRPr="00987E86" w:rsidRDefault="00987E86" w:rsidP="00987E86">
            <w:pPr>
              <w:spacing w:after="0" w:line="240" w:lineRule="auto"/>
              <w:ind w:firstLine="0"/>
              <w:contextualSpacing w:val="0"/>
              <w:jc w:val="left"/>
              <w:rPr>
                <w:rFonts w:eastAsia="Times New Roman" w:cs="Arial"/>
                <w:color w:val="000000"/>
                <w:sz w:val="20"/>
                <w:szCs w:val="20"/>
                <w:lang w:eastAsia="en-GB"/>
              </w:rPr>
            </w:pPr>
            <w:r w:rsidRPr="00987E86">
              <w:rPr>
                <w:rFonts w:eastAsia="Times New Roman" w:cs="Arial"/>
                <w:color w:val="000000"/>
                <w:sz w:val="20"/>
                <w:szCs w:val="20"/>
                <w:lang w:eastAsia="en-GB"/>
              </w:rPr>
              <w:t xml:space="preserve">Pathogens </w:t>
            </w:r>
          </w:p>
        </w:tc>
        <w:tc>
          <w:tcPr>
            <w:tcW w:w="740" w:type="dxa"/>
            <w:tcBorders>
              <w:top w:val="nil"/>
              <w:left w:val="nil"/>
              <w:bottom w:val="single" w:sz="4" w:space="0" w:color="auto"/>
              <w:right w:val="single" w:sz="4" w:space="0" w:color="auto"/>
            </w:tcBorders>
            <w:shd w:val="clear" w:color="000000" w:fill="E7E6E6"/>
            <w:noWrap/>
            <w:vAlign w:val="center"/>
            <w:hideMark/>
          </w:tcPr>
          <w:p w14:paraId="664B7A42"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 xml:space="preserve">AFs </w:t>
            </w:r>
          </w:p>
        </w:tc>
        <w:tc>
          <w:tcPr>
            <w:tcW w:w="1073" w:type="dxa"/>
            <w:tcBorders>
              <w:top w:val="nil"/>
              <w:left w:val="nil"/>
              <w:bottom w:val="single" w:sz="4" w:space="0" w:color="auto"/>
              <w:right w:val="single" w:sz="4" w:space="0" w:color="auto"/>
            </w:tcBorders>
            <w:shd w:val="clear" w:color="000000" w:fill="E7E6E6"/>
            <w:noWrap/>
            <w:vAlign w:val="center"/>
            <w:hideMark/>
          </w:tcPr>
          <w:p w14:paraId="789E223F"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Incidence</w:t>
            </w:r>
          </w:p>
        </w:tc>
        <w:tc>
          <w:tcPr>
            <w:tcW w:w="740" w:type="dxa"/>
            <w:tcBorders>
              <w:top w:val="nil"/>
              <w:left w:val="nil"/>
              <w:bottom w:val="single" w:sz="4" w:space="0" w:color="auto"/>
              <w:right w:val="single" w:sz="4" w:space="0" w:color="auto"/>
            </w:tcBorders>
            <w:shd w:val="clear" w:color="000000" w:fill="E7E6E6"/>
            <w:noWrap/>
            <w:vAlign w:val="center"/>
            <w:hideMark/>
          </w:tcPr>
          <w:p w14:paraId="6594B6C8"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 xml:space="preserve">AFs </w:t>
            </w:r>
          </w:p>
        </w:tc>
        <w:tc>
          <w:tcPr>
            <w:tcW w:w="1073" w:type="dxa"/>
            <w:tcBorders>
              <w:top w:val="nil"/>
              <w:left w:val="nil"/>
              <w:bottom w:val="single" w:sz="4" w:space="0" w:color="auto"/>
              <w:right w:val="single" w:sz="4" w:space="0" w:color="auto"/>
            </w:tcBorders>
            <w:shd w:val="clear" w:color="000000" w:fill="E7E6E6"/>
            <w:noWrap/>
            <w:vAlign w:val="center"/>
            <w:hideMark/>
          </w:tcPr>
          <w:p w14:paraId="1535061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Incidence</w:t>
            </w:r>
          </w:p>
        </w:tc>
        <w:tc>
          <w:tcPr>
            <w:tcW w:w="740" w:type="dxa"/>
            <w:tcBorders>
              <w:top w:val="nil"/>
              <w:left w:val="nil"/>
              <w:bottom w:val="single" w:sz="4" w:space="0" w:color="auto"/>
              <w:right w:val="single" w:sz="4" w:space="0" w:color="auto"/>
            </w:tcBorders>
            <w:shd w:val="clear" w:color="000000" w:fill="E7E6E6"/>
            <w:noWrap/>
            <w:vAlign w:val="center"/>
            <w:hideMark/>
          </w:tcPr>
          <w:p w14:paraId="2E36E490"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 xml:space="preserve">AFs </w:t>
            </w:r>
          </w:p>
        </w:tc>
        <w:tc>
          <w:tcPr>
            <w:tcW w:w="1073" w:type="dxa"/>
            <w:tcBorders>
              <w:top w:val="nil"/>
              <w:left w:val="nil"/>
              <w:bottom w:val="single" w:sz="4" w:space="0" w:color="auto"/>
              <w:right w:val="single" w:sz="4" w:space="0" w:color="auto"/>
            </w:tcBorders>
            <w:shd w:val="clear" w:color="000000" w:fill="E7E6E6"/>
            <w:noWrap/>
            <w:vAlign w:val="center"/>
            <w:hideMark/>
          </w:tcPr>
          <w:p w14:paraId="0AEB441A"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Incidence</w:t>
            </w:r>
          </w:p>
        </w:tc>
        <w:tc>
          <w:tcPr>
            <w:tcW w:w="606" w:type="dxa"/>
            <w:tcBorders>
              <w:top w:val="nil"/>
              <w:left w:val="nil"/>
              <w:bottom w:val="single" w:sz="4" w:space="0" w:color="auto"/>
              <w:right w:val="single" w:sz="4" w:space="0" w:color="auto"/>
            </w:tcBorders>
            <w:shd w:val="clear" w:color="000000" w:fill="E7E6E6"/>
            <w:noWrap/>
            <w:vAlign w:val="center"/>
            <w:hideMark/>
          </w:tcPr>
          <w:p w14:paraId="7EA06079"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 xml:space="preserve">AFs </w:t>
            </w:r>
          </w:p>
        </w:tc>
        <w:tc>
          <w:tcPr>
            <w:tcW w:w="1140" w:type="dxa"/>
            <w:tcBorders>
              <w:top w:val="nil"/>
              <w:left w:val="nil"/>
              <w:bottom w:val="single" w:sz="4" w:space="0" w:color="auto"/>
              <w:right w:val="single" w:sz="4" w:space="0" w:color="auto"/>
            </w:tcBorders>
            <w:shd w:val="clear" w:color="000000" w:fill="E7E6E6"/>
            <w:noWrap/>
            <w:vAlign w:val="center"/>
            <w:hideMark/>
          </w:tcPr>
          <w:p w14:paraId="69A209A6"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Incidence</w:t>
            </w:r>
          </w:p>
        </w:tc>
        <w:tc>
          <w:tcPr>
            <w:tcW w:w="606" w:type="dxa"/>
            <w:tcBorders>
              <w:top w:val="nil"/>
              <w:left w:val="nil"/>
              <w:bottom w:val="single" w:sz="4" w:space="0" w:color="auto"/>
              <w:right w:val="single" w:sz="4" w:space="0" w:color="auto"/>
            </w:tcBorders>
            <w:shd w:val="clear" w:color="000000" w:fill="E7E6E6"/>
            <w:noWrap/>
            <w:vAlign w:val="center"/>
            <w:hideMark/>
          </w:tcPr>
          <w:p w14:paraId="085923B6"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 xml:space="preserve">AFs </w:t>
            </w:r>
          </w:p>
        </w:tc>
        <w:tc>
          <w:tcPr>
            <w:tcW w:w="1140" w:type="dxa"/>
            <w:tcBorders>
              <w:top w:val="nil"/>
              <w:left w:val="nil"/>
              <w:bottom w:val="single" w:sz="4" w:space="0" w:color="auto"/>
              <w:right w:val="single" w:sz="4" w:space="0" w:color="auto"/>
            </w:tcBorders>
            <w:shd w:val="clear" w:color="000000" w:fill="E7E6E6"/>
            <w:noWrap/>
            <w:vAlign w:val="center"/>
            <w:hideMark/>
          </w:tcPr>
          <w:p w14:paraId="5EBBC100"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Incidence</w:t>
            </w:r>
          </w:p>
        </w:tc>
        <w:tc>
          <w:tcPr>
            <w:tcW w:w="1073" w:type="dxa"/>
            <w:tcBorders>
              <w:top w:val="single" w:sz="4" w:space="0" w:color="auto"/>
              <w:left w:val="nil"/>
              <w:bottom w:val="single" w:sz="4" w:space="0" w:color="auto"/>
              <w:right w:val="single" w:sz="4" w:space="0" w:color="auto"/>
            </w:tcBorders>
            <w:shd w:val="clear" w:color="000000" w:fill="E7E6E6"/>
            <w:noWrap/>
            <w:vAlign w:val="center"/>
            <w:hideMark/>
          </w:tcPr>
          <w:p w14:paraId="63E80C91"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Incidence</w:t>
            </w:r>
          </w:p>
        </w:tc>
        <w:tc>
          <w:tcPr>
            <w:tcW w:w="1073" w:type="dxa"/>
            <w:tcBorders>
              <w:top w:val="single" w:sz="4" w:space="0" w:color="auto"/>
              <w:left w:val="nil"/>
              <w:bottom w:val="single" w:sz="4" w:space="0" w:color="auto"/>
              <w:right w:val="single" w:sz="4" w:space="0" w:color="auto"/>
            </w:tcBorders>
            <w:shd w:val="clear" w:color="000000" w:fill="E7E6E6"/>
            <w:noWrap/>
            <w:vAlign w:val="center"/>
            <w:hideMark/>
          </w:tcPr>
          <w:p w14:paraId="58370246"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Incidence</w:t>
            </w:r>
          </w:p>
        </w:tc>
        <w:tc>
          <w:tcPr>
            <w:tcW w:w="1073" w:type="dxa"/>
            <w:tcBorders>
              <w:top w:val="single" w:sz="4" w:space="0" w:color="auto"/>
              <w:left w:val="nil"/>
              <w:bottom w:val="single" w:sz="4" w:space="0" w:color="auto"/>
              <w:right w:val="single" w:sz="4" w:space="0" w:color="auto"/>
            </w:tcBorders>
            <w:shd w:val="clear" w:color="000000" w:fill="E7E6E6"/>
            <w:noWrap/>
            <w:vAlign w:val="center"/>
            <w:hideMark/>
          </w:tcPr>
          <w:p w14:paraId="515F0AF9"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Incidence</w:t>
            </w:r>
          </w:p>
        </w:tc>
      </w:tr>
      <w:tr w:rsidR="00987E86" w:rsidRPr="00987E86" w14:paraId="529EC2A9" w14:textId="77777777" w:rsidTr="00987E86">
        <w:trPr>
          <w:trHeight w:val="290"/>
        </w:trPr>
        <w:tc>
          <w:tcPr>
            <w:tcW w:w="1617" w:type="dxa"/>
            <w:tcBorders>
              <w:top w:val="nil"/>
              <w:left w:val="single" w:sz="4" w:space="0" w:color="auto"/>
              <w:bottom w:val="nil"/>
              <w:right w:val="single" w:sz="4" w:space="0" w:color="auto"/>
            </w:tcBorders>
            <w:shd w:val="clear" w:color="auto" w:fill="auto"/>
            <w:noWrap/>
            <w:vAlign w:val="center"/>
            <w:hideMark/>
          </w:tcPr>
          <w:p w14:paraId="75994E3B" w14:textId="77777777" w:rsidR="00987E86" w:rsidRPr="00987E86" w:rsidRDefault="00987E86" w:rsidP="00987E86">
            <w:pPr>
              <w:spacing w:after="0" w:line="240" w:lineRule="auto"/>
              <w:ind w:firstLine="0"/>
              <w:contextualSpacing w:val="0"/>
              <w:jc w:val="left"/>
              <w:rPr>
                <w:rFonts w:eastAsia="Times New Roman" w:cs="Arial"/>
                <w:color w:val="000000"/>
                <w:sz w:val="20"/>
                <w:szCs w:val="20"/>
                <w:lang w:eastAsia="en-GB"/>
              </w:rPr>
            </w:pPr>
            <w:r w:rsidRPr="00987E86">
              <w:rPr>
                <w:rFonts w:eastAsia="Times New Roman" w:cs="Arial"/>
                <w:color w:val="000000"/>
                <w:sz w:val="20"/>
                <w:szCs w:val="20"/>
                <w:lang w:eastAsia="en-GB"/>
              </w:rPr>
              <w:t>RSV</w:t>
            </w:r>
          </w:p>
        </w:tc>
        <w:tc>
          <w:tcPr>
            <w:tcW w:w="740" w:type="dxa"/>
            <w:tcBorders>
              <w:top w:val="nil"/>
              <w:left w:val="nil"/>
              <w:bottom w:val="nil"/>
              <w:right w:val="nil"/>
            </w:tcBorders>
            <w:shd w:val="clear" w:color="auto" w:fill="auto"/>
            <w:vAlign w:val="center"/>
            <w:hideMark/>
          </w:tcPr>
          <w:p w14:paraId="155B28EB"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0.397</w:t>
            </w:r>
          </w:p>
        </w:tc>
        <w:tc>
          <w:tcPr>
            <w:tcW w:w="1073" w:type="dxa"/>
            <w:tcBorders>
              <w:top w:val="nil"/>
              <w:left w:val="nil"/>
              <w:bottom w:val="nil"/>
              <w:right w:val="single" w:sz="4" w:space="0" w:color="auto"/>
            </w:tcBorders>
            <w:shd w:val="clear" w:color="auto" w:fill="auto"/>
            <w:noWrap/>
            <w:vAlign w:val="center"/>
            <w:hideMark/>
          </w:tcPr>
          <w:p w14:paraId="653D8008"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11.019</w:t>
            </w:r>
          </w:p>
        </w:tc>
        <w:tc>
          <w:tcPr>
            <w:tcW w:w="740" w:type="dxa"/>
            <w:tcBorders>
              <w:top w:val="nil"/>
              <w:left w:val="nil"/>
              <w:bottom w:val="nil"/>
              <w:right w:val="nil"/>
            </w:tcBorders>
            <w:shd w:val="clear" w:color="auto" w:fill="auto"/>
            <w:vAlign w:val="center"/>
            <w:hideMark/>
          </w:tcPr>
          <w:p w14:paraId="0365A9BF"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0.164</w:t>
            </w:r>
          </w:p>
        </w:tc>
        <w:tc>
          <w:tcPr>
            <w:tcW w:w="1073" w:type="dxa"/>
            <w:tcBorders>
              <w:top w:val="nil"/>
              <w:left w:val="nil"/>
              <w:bottom w:val="nil"/>
              <w:right w:val="single" w:sz="4" w:space="0" w:color="auto"/>
            </w:tcBorders>
            <w:shd w:val="clear" w:color="auto" w:fill="auto"/>
            <w:noWrap/>
            <w:vAlign w:val="center"/>
            <w:hideMark/>
          </w:tcPr>
          <w:p w14:paraId="6E2DBB02"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2.755</w:t>
            </w:r>
          </w:p>
        </w:tc>
        <w:tc>
          <w:tcPr>
            <w:tcW w:w="740" w:type="dxa"/>
            <w:tcBorders>
              <w:top w:val="nil"/>
              <w:left w:val="nil"/>
              <w:bottom w:val="nil"/>
              <w:right w:val="nil"/>
            </w:tcBorders>
            <w:shd w:val="clear" w:color="auto" w:fill="auto"/>
            <w:vAlign w:val="center"/>
            <w:hideMark/>
          </w:tcPr>
          <w:p w14:paraId="6B6C2586"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0.165</w:t>
            </w:r>
          </w:p>
        </w:tc>
        <w:tc>
          <w:tcPr>
            <w:tcW w:w="1073" w:type="dxa"/>
            <w:tcBorders>
              <w:top w:val="nil"/>
              <w:left w:val="nil"/>
              <w:bottom w:val="nil"/>
              <w:right w:val="single" w:sz="4" w:space="0" w:color="auto"/>
            </w:tcBorders>
            <w:shd w:val="clear" w:color="auto" w:fill="auto"/>
            <w:noWrap/>
            <w:vAlign w:val="center"/>
            <w:hideMark/>
          </w:tcPr>
          <w:p w14:paraId="2EE871CD"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0.785</w:t>
            </w:r>
          </w:p>
        </w:tc>
        <w:tc>
          <w:tcPr>
            <w:tcW w:w="606" w:type="dxa"/>
            <w:tcBorders>
              <w:top w:val="nil"/>
              <w:left w:val="nil"/>
              <w:bottom w:val="nil"/>
              <w:right w:val="nil"/>
            </w:tcBorders>
            <w:shd w:val="clear" w:color="000000" w:fill="FCE4D6"/>
            <w:noWrap/>
            <w:vAlign w:val="center"/>
            <w:hideMark/>
          </w:tcPr>
          <w:p w14:paraId="2662A382"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0.60</w:t>
            </w:r>
          </w:p>
        </w:tc>
        <w:tc>
          <w:tcPr>
            <w:tcW w:w="1140" w:type="dxa"/>
            <w:tcBorders>
              <w:top w:val="nil"/>
              <w:left w:val="nil"/>
              <w:bottom w:val="nil"/>
              <w:right w:val="single" w:sz="4" w:space="0" w:color="auto"/>
            </w:tcBorders>
            <w:shd w:val="clear" w:color="000000" w:fill="FCE4D6"/>
            <w:noWrap/>
            <w:vAlign w:val="center"/>
            <w:hideMark/>
          </w:tcPr>
          <w:p w14:paraId="31278A7E"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16.338</w:t>
            </w:r>
          </w:p>
        </w:tc>
        <w:tc>
          <w:tcPr>
            <w:tcW w:w="606" w:type="dxa"/>
            <w:tcBorders>
              <w:top w:val="nil"/>
              <w:left w:val="nil"/>
              <w:bottom w:val="nil"/>
              <w:right w:val="nil"/>
            </w:tcBorders>
            <w:shd w:val="clear" w:color="000000" w:fill="FCE4D6"/>
            <w:noWrap/>
            <w:vAlign w:val="center"/>
            <w:hideMark/>
          </w:tcPr>
          <w:p w14:paraId="54F8DC90"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0.60</w:t>
            </w:r>
          </w:p>
        </w:tc>
        <w:tc>
          <w:tcPr>
            <w:tcW w:w="1140" w:type="dxa"/>
            <w:tcBorders>
              <w:top w:val="nil"/>
              <w:left w:val="nil"/>
              <w:bottom w:val="nil"/>
              <w:right w:val="single" w:sz="4" w:space="0" w:color="auto"/>
            </w:tcBorders>
            <w:shd w:val="clear" w:color="000000" w:fill="FCE4D6"/>
            <w:noWrap/>
            <w:vAlign w:val="center"/>
            <w:hideMark/>
          </w:tcPr>
          <w:p w14:paraId="6A32638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8.412</w:t>
            </w:r>
          </w:p>
        </w:tc>
        <w:tc>
          <w:tcPr>
            <w:tcW w:w="1073" w:type="dxa"/>
            <w:tcBorders>
              <w:top w:val="nil"/>
              <w:left w:val="nil"/>
              <w:bottom w:val="nil"/>
              <w:right w:val="single" w:sz="4" w:space="0" w:color="auto"/>
            </w:tcBorders>
            <w:shd w:val="clear" w:color="auto" w:fill="auto"/>
            <w:noWrap/>
            <w:vAlign w:val="center"/>
            <w:hideMark/>
          </w:tcPr>
          <w:p w14:paraId="2A20ABAD"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27.357</w:t>
            </w:r>
          </w:p>
        </w:tc>
        <w:tc>
          <w:tcPr>
            <w:tcW w:w="1073" w:type="dxa"/>
            <w:tcBorders>
              <w:top w:val="nil"/>
              <w:left w:val="nil"/>
              <w:bottom w:val="nil"/>
              <w:right w:val="single" w:sz="4" w:space="0" w:color="auto"/>
            </w:tcBorders>
            <w:shd w:val="clear" w:color="auto" w:fill="auto"/>
            <w:noWrap/>
            <w:vAlign w:val="center"/>
            <w:hideMark/>
          </w:tcPr>
          <w:p w14:paraId="4266D4D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11.167</w:t>
            </w:r>
          </w:p>
        </w:tc>
        <w:tc>
          <w:tcPr>
            <w:tcW w:w="1073" w:type="dxa"/>
            <w:tcBorders>
              <w:top w:val="nil"/>
              <w:left w:val="nil"/>
              <w:bottom w:val="nil"/>
              <w:right w:val="single" w:sz="4" w:space="0" w:color="auto"/>
            </w:tcBorders>
            <w:shd w:val="clear" w:color="auto" w:fill="auto"/>
            <w:noWrap/>
            <w:vAlign w:val="center"/>
            <w:hideMark/>
          </w:tcPr>
          <w:p w14:paraId="7DFF9FB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0.785</w:t>
            </w:r>
          </w:p>
        </w:tc>
      </w:tr>
      <w:tr w:rsidR="00987E86" w:rsidRPr="00987E86" w14:paraId="1BD2F150" w14:textId="77777777" w:rsidTr="00987E86">
        <w:trPr>
          <w:trHeight w:val="290"/>
        </w:trPr>
        <w:tc>
          <w:tcPr>
            <w:tcW w:w="1617" w:type="dxa"/>
            <w:tcBorders>
              <w:top w:val="nil"/>
              <w:left w:val="single" w:sz="4" w:space="0" w:color="auto"/>
              <w:bottom w:val="nil"/>
              <w:right w:val="single" w:sz="4" w:space="0" w:color="auto"/>
            </w:tcBorders>
            <w:shd w:val="clear" w:color="auto" w:fill="auto"/>
            <w:noWrap/>
            <w:vAlign w:val="center"/>
            <w:hideMark/>
          </w:tcPr>
          <w:p w14:paraId="2F9EBA6B" w14:textId="77777777" w:rsidR="00987E86" w:rsidRPr="00987E86" w:rsidRDefault="00987E86" w:rsidP="00987E86">
            <w:pPr>
              <w:spacing w:after="0" w:line="240" w:lineRule="auto"/>
              <w:ind w:firstLine="0"/>
              <w:contextualSpacing w:val="0"/>
              <w:jc w:val="left"/>
              <w:rPr>
                <w:rFonts w:eastAsia="Times New Roman" w:cs="Arial"/>
                <w:color w:val="000000"/>
                <w:sz w:val="20"/>
                <w:szCs w:val="20"/>
                <w:lang w:eastAsia="en-GB"/>
              </w:rPr>
            </w:pPr>
            <w:r w:rsidRPr="00987E86">
              <w:rPr>
                <w:rFonts w:eastAsia="Times New Roman" w:cs="Arial"/>
                <w:color w:val="000000"/>
                <w:sz w:val="20"/>
                <w:szCs w:val="20"/>
                <w:lang w:eastAsia="en-GB"/>
              </w:rPr>
              <w:t>Rhinovirus</w:t>
            </w:r>
          </w:p>
        </w:tc>
        <w:tc>
          <w:tcPr>
            <w:tcW w:w="740" w:type="dxa"/>
            <w:tcBorders>
              <w:top w:val="nil"/>
              <w:left w:val="nil"/>
              <w:bottom w:val="nil"/>
              <w:right w:val="nil"/>
            </w:tcBorders>
            <w:shd w:val="clear" w:color="auto" w:fill="auto"/>
            <w:vAlign w:val="center"/>
            <w:hideMark/>
          </w:tcPr>
          <w:p w14:paraId="7762595C"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0.029</w:t>
            </w:r>
          </w:p>
        </w:tc>
        <w:tc>
          <w:tcPr>
            <w:tcW w:w="1073" w:type="dxa"/>
            <w:tcBorders>
              <w:top w:val="nil"/>
              <w:left w:val="nil"/>
              <w:bottom w:val="nil"/>
              <w:right w:val="single" w:sz="4" w:space="0" w:color="auto"/>
            </w:tcBorders>
            <w:shd w:val="clear" w:color="auto" w:fill="auto"/>
            <w:noWrap/>
            <w:vAlign w:val="center"/>
            <w:hideMark/>
          </w:tcPr>
          <w:p w14:paraId="130B0AFF"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0.805</w:t>
            </w:r>
          </w:p>
        </w:tc>
        <w:tc>
          <w:tcPr>
            <w:tcW w:w="740" w:type="dxa"/>
            <w:tcBorders>
              <w:top w:val="nil"/>
              <w:left w:val="nil"/>
              <w:bottom w:val="nil"/>
              <w:right w:val="nil"/>
            </w:tcBorders>
            <w:shd w:val="clear" w:color="auto" w:fill="auto"/>
            <w:vAlign w:val="center"/>
            <w:hideMark/>
          </w:tcPr>
          <w:p w14:paraId="29B193C2"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0.152</w:t>
            </w:r>
          </w:p>
        </w:tc>
        <w:tc>
          <w:tcPr>
            <w:tcW w:w="1073" w:type="dxa"/>
            <w:tcBorders>
              <w:top w:val="nil"/>
              <w:left w:val="nil"/>
              <w:bottom w:val="nil"/>
              <w:right w:val="single" w:sz="4" w:space="0" w:color="auto"/>
            </w:tcBorders>
            <w:shd w:val="clear" w:color="auto" w:fill="auto"/>
            <w:noWrap/>
            <w:vAlign w:val="center"/>
            <w:hideMark/>
          </w:tcPr>
          <w:p w14:paraId="1C7E3905"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2.554</w:t>
            </w:r>
          </w:p>
        </w:tc>
        <w:tc>
          <w:tcPr>
            <w:tcW w:w="740" w:type="dxa"/>
            <w:tcBorders>
              <w:top w:val="nil"/>
              <w:left w:val="nil"/>
              <w:bottom w:val="nil"/>
              <w:right w:val="nil"/>
            </w:tcBorders>
            <w:shd w:val="clear" w:color="auto" w:fill="auto"/>
            <w:vAlign w:val="center"/>
            <w:hideMark/>
          </w:tcPr>
          <w:p w14:paraId="315E297E"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0.159</w:t>
            </w:r>
          </w:p>
        </w:tc>
        <w:tc>
          <w:tcPr>
            <w:tcW w:w="1073" w:type="dxa"/>
            <w:tcBorders>
              <w:top w:val="nil"/>
              <w:left w:val="nil"/>
              <w:bottom w:val="nil"/>
              <w:right w:val="single" w:sz="4" w:space="0" w:color="auto"/>
            </w:tcBorders>
            <w:shd w:val="clear" w:color="auto" w:fill="auto"/>
            <w:noWrap/>
            <w:vAlign w:val="center"/>
            <w:hideMark/>
          </w:tcPr>
          <w:p w14:paraId="046A94DA"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0.757</w:t>
            </w:r>
          </w:p>
        </w:tc>
        <w:tc>
          <w:tcPr>
            <w:tcW w:w="606" w:type="dxa"/>
            <w:tcBorders>
              <w:top w:val="nil"/>
              <w:left w:val="nil"/>
              <w:bottom w:val="nil"/>
              <w:right w:val="nil"/>
            </w:tcBorders>
            <w:shd w:val="clear" w:color="000000" w:fill="FCE4D6"/>
            <w:noWrap/>
            <w:vAlign w:val="center"/>
            <w:hideMark/>
          </w:tcPr>
          <w:p w14:paraId="07DD2D0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w:t>
            </w:r>
          </w:p>
        </w:tc>
        <w:tc>
          <w:tcPr>
            <w:tcW w:w="1140" w:type="dxa"/>
            <w:tcBorders>
              <w:top w:val="nil"/>
              <w:left w:val="nil"/>
              <w:bottom w:val="nil"/>
              <w:right w:val="single" w:sz="4" w:space="0" w:color="auto"/>
            </w:tcBorders>
            <w:shd w:val="clear" w:color="000000" w:fill="FCE4D6"/>
            <w:noWrap/>
            <w:vAlign w:val="center"/>
            <w:hideMark/>
          </w:tcPr>
          <w:p w14:paraId="4B14A04F"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1.3615</w:t>
            </w:r>
          </w:p>
        </w:tc>
        <w:tc>
          <w:tcPr>
            <w:tcW w:w="606" w:type="dxa"/>
            <w:tcBorders>
              <w:top w:val="nil"/>
              <w:left w:val="nil"/>
              <w:bottom w:val="nil"/>
              <w:right w:val="nil"/>
            </w:tcBorders>
            <w:shd w:val="clear" w:color="000000" w:fill="FCE4D6"/>
            <w:noWrap/>
            <w:vAlign w:val="center"/>
            <w:hideMark/>
          </w:tcPr>
          <w:p w14:paraId="7156D6D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w:t>
            </w:r>
          </w:p>
        </w:tc>
        <w:tc>
          <w:tcPr>
            <w:tcW w:w="1140" w:type="dxa"/>
            <w:tcBorders>
              <w:top w:val="nil"/>
              <w:left w:val="nil"/>
              <w:bottom w:val="nil"/>
              <w:right w:val="single" w:sz="4" w:space="0" w:color="auto"/>
            </w:tcBorders>
            <w:shd w:val="clear" w:color="000000" w:fill="FCE4D6"/>
            <w:noWrap/>
            <w:vAlign w:val="center"/>
            <w:hideMark/>
          </w:tcPr>
          <w:p w14:paraId="2B7C84F1"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0.701</w:t>
            </w:r>
          </w:p>
        </w:tc>
        <w:tc>
          <w:tcPr>
            <w:tcW w:w="1073" w:type="dxa"/>
            <w:tcBorders>
              <w:top w:val="nil"/>
              <w:left w:val="nil"/>
              <w:bottom w:val="nil"/>
              <w:right w:val="single" w:sz="4" w:space="0" w:color="auto"/>
            </w:tcBorders>
            <w:shd w:val="clear" w:color="auto" w:fill="auto"/>
            <w:noWrap/>
            <w:vAlign w:val="center"/>
            <w:hideMark/>
          </w:tcPr>
          <w:p w14:paraId="6304EA30"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2.166</w:t>
            </w:r>
          </w:p>
        </w:tc>
        <w:tc>
          <w:tcPr>
            <w:tcW w:w="1073" w:type="dxa"/>
            <w:tcBorders>
              <w:top w:val="nil"/>
              <w:left w:val="nil"/>
              <w:bottom w:val="nil"/>
              <w:right w:val="single" w:sz="4" w:space="0" w:color="auto"/>
            </w:tcBorders>
            <w:shd w:val="clear" w:color="auto" w:fill="auto"/>
            <w:noWrap/>
            <w:vAlign w:val="center"/>
            <w:hideMark/>
          </w:tcPr>
          <w:p w14:paraId="4E992F12"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3.255</w:t>
            </w:r>
          </w:p>
        </w:tc>
        <w:tc>
          <w:tcPr>
            <w:tcW w:w="1073" w:type="dxa"/>
            <w:tcBorders>
              <w:top w:val="nil"/>
              <w:left w:val="nil"/>
              <w:bottom w:val="nil"/>
              <w:right w:val="single" w:sz="4" w:space="0" w:color="auto"/>
            </w:tcBorders>
            <w:shd w:val="clear" w:color="auto" w:fill="auto"/>
            <w:noWrap/>
            <w:vAlign w:val="center"/>
            <w:hideMark/>
          </w:tcPr>
          <w:p w14:paraId="65AF9423"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0.757</w:t>
            </w:r>
          </w:p>
        </w:tc>
      </w:tr>
      <w:tr w:rsidR="00987E86" w:rsidRPr="00987E86" w14:paraId="48992121" w14:textId="77777777" w:rsidTr="00987E86">
        <w:trPr>
          <w:trHeight w:val="290"/>
        </w:trPr>
        <w:tc>
          <w:tcPr>
            <w:tcW w:w="1617" w:type="dxa"/>
            <w:tcBorders>
              <w:top w:val="nil"/>
              <w:left w:val="single" w:sz="4" w:space="0" w:color="auto"/>
              <w:bottom w:val="nil"/>
              <w:right w:val="single" w:sz="4" w:space="0" w:color="auto"/>
            </w:tcBorders>
            <w:shd w:val="clear" w:color="auto" w:fill="auto"/>
            <w:noWrap/>
            <w:vAlign w:val="center"/>
            <w:hideMark/>
          </w:tcPr>
          <w:p w14:paraId="06804170" w14:textId="77777777" w:rsidR="00987E86" w:rsidRPr="00987E86" w:rsidRDefault="00987E86" w:rsidP="00987E86">
            <w:pPr>
              <w:spacing w:after="0" w:line="240" w:lineRule="auto"/>
              <w:ind w:firstLine="0"/>
              <w:contextualSpacing w:val="0"/>
              <w:jc w:val="left"/>
              <w:rPr>
                <w:rFonts w:eastAsia="Times New Roman" w:cs="Arial"/>
                <w:color w:val="000000"/>
                <w:sz w:val="20"/>
                <w:szCs w:val="20"/>
                <w:lang w:eastAsia="en-GB"/>
              </w:rPr>
            </w:pPr>
            <w:r w:rsidRPr="00987E86">
              <w:rPr>
                <w:rFonts w:eastAsia="Times New Roman" w:cs="Arial"/>
                <w:color w:val="000000"/>
                <w:sz w:val="20"/>
                <w:szCs w:val="20"/>
                <w:lang w:eastAsia="en-GB"/>
              </w:rPr>
              <w:t>HMPV</w:t>
            </w:r>
          </w:p>
        </w:tc>
        <w:tc>
          <w:tcPr>
            <w:tcW w:w="740" w:type="dxa"/>
            <w:tcBorders>
              <w:top w:val="nil"/>
              <w:left w:val="nil"/>
              <w:bottom w:val="nil"/>
              <w:right w:val="nil"/>
            </w:tcBorders>
            <w:shd w:val="clear" w:color="auto" w:fill="auto"/>
            <w:vAlign w:val="center"/>
            <w:hideMark/>
          </w:tcPr>
          <w:p w14:paraId="015B2215"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0.083</w:t>
            </w:r>
          </w:p>
        </w:tc>
        <w:tc>
          <w:tcPr>
            <w:tcW w:w="1073" w:type="dxa"/>
            <w:tcBorders>
              <w:top w:val="nil"/>
              <w:left w:val="nil"/>
              <w:bottom w:val="nil"/>
              <w:right w:val="single" w:sz="4" w:space="0" w:color="auto"/>
            </w:tcBorders>
            <w:shd w:val="clear" w:color="auto" w:fill="auto"/>
            <w:noWrap/>
            <w:vAlign w:val="center"/>
            <w:hideMark/>
          </w:tcPr>
          <w:p w14:paraId="2037428B"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2.304</w:t>
            </w:r>
          </w:p>
        </w:tc>
        <w:tc>
          <w:tcPr>
            <w:tcW w:w="740" w:type="dxa"/>
            <w:tcBorders>
              <w:top w:val="nil"/>
              <w:left w:val="nil"/>
              <w:bottom w:val="nil"/>
              <w:right w:val="nil"/>
            </w:tcBorders>
            <w:shd w:val="clear" w:color="auto" w:fill="auto"/>
            <w:vAlign w:val="center"/>
            <w:hideMark/>
          </w:tcPr>
          <w:p w14:paraId="030089D8"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0.063</w:t>
            </w:r>
          </w:p>
        </w:tc>
        <w:tc>
          <w:tcPr>
            <w:tcW w:w="1073" w:type="dxa"/>
            <w:tcBorders>
              <w:top w:val="nil"/>
              <w:left w:val="nil"/>
              <w:bottom w:val="nil"/>
              <w:right w:val="single" w:sz="4" w:space="0" w:color="auto"/>
            </w:tcBorders>
            <w:shd w:val="clear" w:color="auto" w:fill="auto"/>
            <w:noWrap/>
            <w:vAlign w:val="center"/>
            <w:hideMark/>
          </w:tcPr>
          <w:p w14:paraId="46B4DD0D"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1.058</w:t>
            </w:r>
          </w:p>
        </w:tc>
        <w:tc>
          <w:tcPr>
            <w:tcW w:w="740" w:type="dxa"/>
            <w:tcBorders>
              <w:top w:val="nil"/>
              <w:left w:val="nil"/>
              <w:bottom w:val="nil"/>
              <w:right w:val="nil"/>
            </w:tcBorders>
            <w:shd w:val="clear" w:color="auto" w:fill="auto"/>
            <w:vAlign w:val="center"/>
            <w:hideMark/>
          </w:tcPr>
          <w:p w14:paraId="2391190D"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0.059</w:t>
            </w:r>
          </w:p>
        </w:tc>
        <w:tc>
          <w:tcPr>
            <w:tcW w:w="1073" w:type="dxa"/>
            <w:tcBorders>
              <w:top w:val="nil"/>
              <w:left w:val="nil"/>
              <w:bottom w:val="nil"/>
              <w:right w:val="single" w:sz="4" w:space="0" w:color="auto"/>
            </w:tcBorders>
            <w:shd w:val="clear" w:color="auto" w:fill="auto"/>
            <w:noWrap/>
            <w:vAlign w:val="center"/>
            <w:hideMark/>
          </w:tcPr>
          <w:p w14:paraId="107AC7F0"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0.281</w:t>
            </w:r>
          </w:p>
        </w:tc>
        <w:tc>
          <w:tcPr>
            <w:tcW w:w="606" w:type="dxa"/>
            <w:tcBorders>
              <w:top w:val="nil"/>
              <w:left w:val="nil"/>
              <w:bottom w:val="nil"/>
              <w:right w:val="nil"/>
            </w:tcBorders>
            <w:shd w:val="clear" w:color="000000" w:fill="FCE4D6"/>
            <w:noWrap/>
            <w:vAlign w:val="center"/>
            <w:hideMark/>
          </w:tcPr>
          <w:p w14:paraId="51550F37"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w:t>
            </w:r>
          </w:p>
        </w:tc>
        <w:tc>
          <w:tcPr>
            <w:tcW w:w="1140" w:type="dxa"/>
            <w:tcBorders>
              <w:top w:val="nil"/>
              <w:left w:val="nil"/>
              <w:bottom w:val="nil"/>
              <w:right w:val="single" w:sz="4" w:space="0" w:color="auto"/>
            </w:tcBorders>
            <w:shd w:val="clear" w:color="000000" w:fill="FCE4D6"/>
            <w:noWrap/>
            <w:vAlign w:val="center"/>
            <w:hideMark/>
          </w:tcPr>
          <w:p w14:paraId="4735805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1.3615</w:t>
            </w:r>
          </w:p>
        </w:tc>
        <w:tc>
          <w:tcPr>
            <w:tcW w:w="606" w:type="dxa"/>
            <w:tcBorders>
              <w:top w:val="nil"/>
              <w:left w:val="nil"/>
              <w:bottom w:val="nil"/>
              <w:right w:val="nil"/>
            </w:tcBorders>
            <w:shd w:val="clear" w:color="000000" w:fill="FCE4D6"/>
            <w:noWrap/>
            <w:vAlign w:val="center"/>
            <w:hideMark/>
          </w:tcPr>
          <w:p w14:paraId="6A88FE10"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w:t>
            </w:r>
          </w:p>
        </w:tc>
        <w:tc>
          <w:tcPr>
            <w:tcW w:w="1140" w:type="dxa"/>
            <w:tcBorders>
              <w:top w:val="nil"/>
              <w:left w:val="nil"/>
              <w:bottom w:val="nil"/>
              <w:right w:val="single" w:sz="4" w:space="0" w:color="auto"/>
            </w:tcBorders>
            <w:shd w:val="clear" w:color="000000" w:fill="FCE4D6"/>
            <w:noWrap/>
            <w:vAlign w:val="center"/>
            <w:hideMark/>
          </w:tcPr>
          <w:p w14:paraId="2487AD11"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0.701</w:t>
            </w:r>
          </w:p>
        </w:tc>
        <w:tc>
          <w:tcPr>
            <w:tcW w:w="1073" w:type="dxa"/>
            <w:tcBorders>
              <w:top w:val="nil"/>
              <w:left w:val="nil"/>
              <w:bottom w:val="nil"/>
              <w:right w:val="single" w:sz="4" w:space="0" w:color="auto"/>
            </w:tcBorders>
            <w:shd w:val="clear" w:color="auto" w:fill="auto"/>
            <w:noWrap/>
            <w:vAlign w:val="center"/>
            <w:hideMark/>
          </w:tcPr>
          <w:p w14:paraId="04072552"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3.665</w:t>
            </w:r>
          </w:p>
        </w:tc>
        <w:tc>
          <w:tcPr>
            <w:tcW w:w="1073" w:type="dxa"/>
            <w:tcBorders>
              <w:top w:val="nil"/>
              <w:left w:val="nil"/>
              <w:bottom w:val="nil"/>
              <w:right w:val="single" w:sz="4" w:space="0" w:color="auto"/>
            </w:tcBorders>
            <w:shd w:val="clear" w:color="auto" w:fill="auto"/>
            <w:noWrap/>
            <w:vAlign w:val="center"/>
            <w:hideMark/>
          </w:tcPr>
          <w:p w14:paraId="212F5A7C"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1.759</w:t>
            </w:r>
          </w:p>
        </w:tc>
        <w:tc>
          <w:tcPr>
            <w:tcW w:w="1073" w:type="dxa"/>
            <w:tcBorders>
              <w:top w:val="nil"/>
              <w:left w:val="nil"/>
              <w:bottom w:val="nil"/>
              <w:right w:val="single" w:sz="4" w:space="0" w:color="auto"/>
            </w:tcBorders>
            <w:shd w:val="clear" w:color="auto" w:fill="auto"/>
            <w:noWrap/>
            <w:vAlign w:val="center"/>
            <w:hideMark/>
          </w:tcPr>
          <w:p w14:paraId="30AF1A85"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0.281</w:t>
            </w:r>
          </w:p>
        </w:tc>
      </w:tr>
      <w:tr w:rsidR="00987E86" w:rsidRPr="00987E86" w14:paraId="211213A8" w14:textId="77777777" w:rsidTr="00987E86">
        <w:trPr>
          <w:trHeight w:val="290"/>
        </w:trPr>
        <w:tc>
          <w:tcPr>
            <w:tcW w:w="1617" w:type="dxa"/>
            <w:tcBorders>
              <w:top w:val="nil"/>
              <w:left w:val="single" w:sz="4" w:space="0" w:color="auto"/>
              <w:bottom w:val="nil"/>
              <w:right w:val="single" w:sz="4" w:space="0" w:color="auto"/>
            </w:tcBorders>
            <w:shd w:val="clear" w:color="auto" w:fill="auto"/>
            <w:noWrap/>
            <w:vAlign w:val="center"/>
            <w:hideMark/>
          </w:tcPr>
          <w:p w14:paraId="3598CD66" w14:textId="77777777" w:rsidR="00987E86" w:rsidRPr="00987E86" w:rsidRDefault="00987E86" w:rsidP="00987E86">
            <w:pPr>
              <w:spacing w:after="0" w:line="240" w:lineRule="auto"/>
              <w:ind w:firstLine="0"/>
              <w:contextualSpacing w:val="0"/>
              <w:jc w:val="left"/>
              <w:rPr>
                <w:rFonts w:eastAsia="Times New Roman" w:cs="Arial"/>
                <w:color w:val="000000"/>
                <w:sz w:val="20"/>
                <w:szCs w:val="20"/>
                <w:lang w:eastAsia="en-GB"/>
              </w:rPr>
            </w:pPr>
            <w:r w:rsidRPr="00987E86">
              <w:rPr>
                <w:rFonts w:eastAsia="Times New Roman" w:cs="Arial"/>
                <w:color w:val="000000"/>
                <w:sz w:val="20"/>
                <w:szCs w:val="20"/>
                <w:lang w:eastAsia="en-GB"/>
              </w:rPr>
              <w:t>Parainfluenza</w:t>
            </w:r>
          </w:p>
        </w:tc>
        <w:tc>
          <w:tcPr>
            <w:tcW w:w="740" w:type="dxa"/>
            <w:tcBorders>
              <w:top w:val="nil"/>
              <w:left w:val="nil"/>
              <w:bottom w:val="nil"/>
              <w:right w:val="nil"/>
            </w:tcBorders>
            <w:shd w:val="clear" w:color="auto" w:fill="auto"/>
            <w:vAlign w:val="center"/>
            <w:hideMark/>
          </w:tcPr>
          <w:p w14:paraId="420C96CC"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0.078</w:t>
            </w:r>
          </w:p>
        </w:tc>
        <w:tc>
          <w:tcPr>
            <w:tcW w:w="1073" w:type="dxa"/>
            <w:tcBorders>
              <w:top w:val="nil"/>
              <w:left w:val="nil"/>
              <w:bottom w:val="nil"/>
              <w:right w:val="single" w:sz="4" w:space="0" w:color="auto"/>
            </w:tcBorders>
            <w:shd w:val="clear" w:color="auto" w:fill="auto"/>
            <w:noWrap/>
            <w:vAlign w:val="center"/>
            <w:hideMark/>
          </w:tcPr>
          <w:p w14:paraId="7801FAA8"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2.165</w:t>
            </w:r>
          </w:p>
        </w:tc>
        <w:tc>
          <w:tcPr>
            <w:tcW w:w="740" w:type="dxa"/>
            <w:tcBorders>
              <w:top w:val="nil"/>
              <w:left w:val="nil"/>
              <w:bottom w:val="nil"/>
              <w:right w:val="nil"/>
            </w:tcBorders>
            <w:shd w:val="clear" w:color="auto" w:fill="auto"/>
            <w:noWrap/>
            <w:vAlign w:val="center"/>
            <w:hideMark/>
          </w:tcPr>
          <w:p w14:paraId="7EF9E41B"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0.067</w:t>
            </w:r>
          </w:p>
        </w:tc>
        <w:tc>
          <w:tcPr>
            <w:tcW w:w="1073" w:type="dxa"/>
            <w:tcBorders>
              <w:top w:val="nil"/>
              <w:left w:val="nil"/>
              <w:bottom w:val="nil"/>
              <w:right w:val="single" w:sz="4" w:space="0" w:color="auto"/>
            </w:tcBorders>
            <w:shd w:val="clear" w:color="auto" w:fill="auto"/>
            <w:noWrap/>
            <w:vAlign w:val="center"/>
            <w:hideMark/>
          </w:tcPr>
          <w:p w14:paraId="53B0E15C"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1.126</w:t>
            </w:r>
          </w:p>
        </w:tc>
        <w:tc>
          <w:tcPr>
            <w:tcW w:w="740" w:type="dxa"/>
            <w:tcBorders>
              <w:top w:val="nil"/>
              <w:left w:val="nil"/>
              <w:bottom w:val="nil"/>
              <w:right w:val="nil"/>
            </w:tcBorders>
            <w:shd w:val="clear" w:color="auto" w:fill="auto"/>
            <w:vAlign w:val="center"/>
            <w:hideMark/>
          </w:tcPr>
          <w:p w14:paraId="43C26282"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0.068</w:t>
            </w:r>
          </w:p>
        </w:tc>
        <w:tc>
          <w:tcPr>
            <w:tcW w:w="1073" w:type="dxa"/>
            <w:tcBorders>
              <w:top w:val="nil"/>
              <w:left w:val="nil"/>
              <w:bottom w:val="nil"/>
              <w:right w:val="single" w:sz="4" w:space="0" w:color="auto"/>
            </w:tcBorders>
            <w:shd w:val="clear" w:color="auto" w:fill="auto"/>
            <w:noWrap/>
            <w:vAlign w:val="center"/>
            <w:hideMark/>
          </w:tcPr>
          <w:p w14:paraId="1349F823"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0.324</w:t>
            </w:r>
          </w:p>
        </w:tc>
        <w:tc>
          <w:tcPr>
            <w:tcW w:w="606" w:type="dxa"/>
            <w:tcBorders>
              <w:top w:val="nil"/>
              <w:left w:val="nil"/>
              <w:bottom w:val="nil"/>
              <w:right w:val="nil"/>
            </w:tcBorders>
            <w:shd w:val="clear" w:color="000000" w:fill="FCE4D6"/>
            <w:noWrap/>
            <w:vAlign w:val="center"/>
            <w:hideMark/>
          </w:tcPr>
          <w:p w14:paraId="17C1013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w:t>
            </w:r>
          </w:p>
        </w:tc>
        <w:tc>
          <w:tcPr>
            <w:tcW w:w="1140" w:type="dxa"/>
            <w:tcBorders>
              <w:top w:val="nil"/>
              <w:left w:val="nil"/>
              <w:bottom w:val="nil"/>
              <w:right w:val="single" w:sz="4" w:space="0" w:color="auto"/>
            </w:tcBorders>
            <w:shd w:val="clear" w:color="000000" w:fill="FCE4D6"/>
            <w:noWrap/>
            <w:vAlign w:val="center"/>
            <w:hideMark/>
          </w:tcPr>
          <w:p w14:paraId="6257DAFD"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1.3615</w:t>
            </w:r>
          </w:p>
        </w:tc>
        <w:tc>
          <w:tcPr>
            <w:tcW w:w="606" w:type="dxa"/>
            <w:tcBorders>
              <w:top w:val="nil"/>
              <w:left w:val="nil"/>
              <w:bottom w:val="nil"/>
              <w:right w:val="nil"/>
            </w:tcBorders>
            <w:shd w:val="clear" w:color="000000" w:fill="FCE4D6"/>
            <w:noWrap/>
            <w:vAlign w:val="center"/>
            <w:hideMark/>
          </w:tcPr>
          <w:p w14:paraId="5F791777"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w:t>
            </w:r>
          </w:p>
        </w:tc>
        <w:tc>
          <w:tcPr>
            <w:tcW w:w="1140" w:type="dxa"/>
            <w:tcBorders>
              <w:top w:val="nil"/>
              <w:left w:val="nil"/>
              <w:bottom w:val="nil"/>
              <w:right w:val="single" w:sz="4" w:space="0" w:color="auto"/>
            </w:tcBorders>
            <w:shd w:val="clear" w:color="000000" w:fill="FCE4D6"/>
            <w:noWrap/>
            <w:vAlign w:val="center"/>
            <w:hideMark/>
          </w:tcPr>
          <w:p w14:paraId="43861E3A"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0.701</w:t>
            </w:r>
          </w:p>
        </w:tc>
        <w:tc>
          <w:tcPr>
            <w:tcW w:w="1073" w:type="dxa"/>
            <w:tcBorders>
              <w:top w:val="nil"/>
              <w:left w:val="nil"/>
              <w:bottom w:val="nil"/>
              <w:right w:val="single" w:sz="4" w:space="0" w:color="auto"/>
            </w:tcBorders>
            <w:shd w:val="clear" w:color="auto" w:fill="auto"/>
            <w:noWrap/>
            <w:vAlign w:val="center"/>
            <w:hideMark/>
          </w:tcPr>
          <w:p w14:paraId="0B42636D"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3.526</w:t>
            </w:r>
          </w:p>
        </w:tc>
        <w:tc>
          <w:tcPr>
            <w:tcW w:w="1073" w:type="dxa"/>
            <w:tcBorders>
              <w:top w:val="nil"/>
              <w:left w:val="nil"/>
              <w:bottom w:val="nil"/>
              <w:right w:val="single" w:sz="4" w:space="0" w:color="auto"/>
            </w:tcBorders>
            <w:shd w:val="clear" w:color="auto" w:fill="auto"/>
            <w:noWrap/>
            <w:vAlign w:val="center"/>
            <w:hideMark/>
          </w:tcPr>
          <w:p w14:paraId="0CED0399"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1.827</w:t>
            </w:r>
          </w:p>
        </w:tc>
        <w:tc>
          <w:tcPr>
            <w:tcW w:w="1073" w:type="dxa"/>
            <w:tcBorders>
              <w:top w:val="nil"/>
              <w:left w:val="nil"/>
              <w:bottom w:val="nil"/>
              <w:right w:val="single" w:sz="4" w:space="0" w:color="auto"/>
            </w:tcBorders>
            <w:shd w:val="clear" w:color="auto" w:fill="auto"/>
            <w:noWrap/>
            <w:vAlign w:val="center"/>
            <w:hideMark/>
          </w:tcPr>
          <w:p w14:paraId="7BAFC47E"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0.324</w:t>
            </w:r>
          </w:p>
        </w:tc>
      </w:tr>
      <w:tr w:rsidR="00987E86" w:rsidRPr="00987E86" w14:paraId="70EE7734" w14:textId="77777777" w:rsidTr="00987E86">
        <w:trPr>
          <w:trHeight w:val="290"/>
        </w:trPr>
        <w:tc>
          <w:tcPr>
            <w:tcW w:w="1617" w:type="dxa"/>
            <w:tcBorders>
              <w:top w:val="nil"/>
              <w:left w:val="single" w:sz="4" w:space="0" w:color="auto"/>
              <w:bottom w:val="nil"/>
              <w:right w:val="single" w:sz="4" w:space="0" w:color="auto"/>
            </w:tcBorders>
            <w:shd w:val="clear" w:color="auto" w:fill="auto"/>
            <w:noWrap/>
            <w:vAlign w:val="center"/>
            <w:hideMark/>
          </w:tcPr>
          <w:p w14:paraId="4D88CD80" w14:textId="77777777" w:rsidR="00987E86" w:rsidRPr="00987E86" w:rsidRDefault="00987E86" w:rsidP="00987E86">
            <w:pPr>
              <w:spacing w:after="0" w:line="240" w:lineRule="auto"/>
              <w:ind w:firstLine="0"/>
              <w:contextualSpacing w:val="0"/>
              <w:jc w:val="left"/>
              <w:rPr>
                <w:rFonts w:eastAsia="Times New Roman" w:cs="Arial"/>
                <w:color w:val="000000"/>
                <w:sz w:val="20"/>
                <w:szCs w:val="20"/>
                <w:lang w:eastAsia="en-GB"/>
              </w:rPr>
            </w:pPr>
            <w:r w:rsidRPr="00987E86">
              <w:rPr>
                <w:rFonts w:eastAsia="Times New Roman" w:cs="Arial"/>
                <w:color w:val="000000"/>
                <w:sz w:val="20"/>
                <w:szCs w:val="20"/>
                <w:lang w:eastAsia="en-GB"/>
              </w:rPr>
              <w:t>Streptococcus</w:t>
            </w:r>
          </w:p>
        </w:tc>
        <w:tc>
          <w:tcPr>
            <w:tcW w:w="740" w:type="dxa"/>
            <w:tcBorders>
              <w:top w:val="nil"/>
              <w:left w:val="nil"/>
              <w:bottom w:val="nil"/>
              <w:right w:val="nil"/>
            </w:tcBorders>
            <w:shd w:val="clear" w:color="auto" w:fill="auto"/>
            <w:vAlign w:val="center"/>
            <w:hideMark/>
          </w:tcPr>
          <w:p w14:paraId="14408D8E"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0.047</w:t>
            </w:r>
          </w:p>
        </w:tc>
        <w:tc>
          <w:tcPr>
            <w:tcW w:w="1073" w:type="dxa"/>
            <w:tcBorders>
              <w:top w:val="nil"/>
              <w:left w:val="nil"/>
              <w:bottom w:val="nil"/>
              <w:right w:val="single" w:sz="4" w:space="0" w:color="auto"/>
            </w:tcBorders>
            <w:shd w:val="clear" w:color="auto" w:fill="auto"/>
            <w:noWrap/>
            <w:vAlign w:val="center"/>
            <w:hideMark/>
          </w:tcPr>
          <w:p w14:paraId="0B834333"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1.305</w:t>
            </w:r>
          </w:p>
        </w:tc>
        <w:tc>
          <w:tcPr>
            <w:tcW w:w="740" w:type="dxa"/>
            <w:tcBorders>
              <w:top w:val="nil"/>
              <w:left w:val="nil"/>
              <w:bottom w:val="nil"/>
              <w:right w:val="nil"/>
            </w:tcBorders>
            <w:shd w:val="clear" w:color="auto" w:fill="auto"/>
            <w:vAlign w:val="center"/>
            <w:hideMark/>
          </w:tcPr>
          <w:p w14:paraId="45B5C15C"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0.106</w:t>
            </w:r>
          </w:p>
        </w:tc>
        <w:tc>
          <w:tcPr>
            <w:tcW w:w="1073" w:type="dxa"/>
            <w:tcBorders>
              <w:top w:val="nil"/>
              <w:left w:val="nil"/>
              <w:bottom w:val="nil"/>
              <w:right w:val="single" w:sz="4" w:space="0" w:color="auto"/>
            </w:tcBorders>
            <w:shd w:val="clear" w:color="auto" w:fill="auto"/>
            <w:noWrap/>
            <w:vAlign w:val="center"/>
            <w:hideMark/>
          </w:tcPr>
          <w:p w14:paraId="68C7CB59"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1.781</w:t>
            </w:r>
          </w:p>
        </w:tc>
        <w:tc>
          <w:tcPr>
            <w:tcW w:w="740" w:type="dxa"/>
            <w:tcBorders>
              <w:top w:val="nil"/>
              <w:left w:val="nil"/>
              <w:bottom w:val="nil"/>
              <w:right w:val="nil"/>
            </w:tcBorders>
            <w:shd w:val="clear" w:color="auto" w:fill="auto"/>
            <w:vAlign w:val="center"/>
            <w:hideMark/>
          </w:tcPr>
          <w:p w14:paraId="53D108DF"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0.092</w:t>
            </w:r>
          </w:p>
        </w:tc>
        <w:tc>
          <w:tcPr>
            <w:tcW w:w="1073" w:type="dxa"/>
            <w:tcBorders>
              <w:top w:val="nil"/>
              <w:left w:val="nil"/>
              <w:bottom w:val="nil"/>
              <w:right w:val="single" w:sz="4" w:space="0" w:color="auto"/>
            </w:tcBorders>
            <w:shd w:val="clear" w:color="auto" w:fill="auto"/>
            <w:noWrap/>
            <w:vAlign w:val="center"/>
            <w:hideMark/>
          </w:tcPr>
          <w:p w14:paraId="154E304D"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0.438</w:t>
            </w:r>
          </w:p>
        </w:tc>
        <w:tc>
          <w:tcPr>
            <w:tcW w:w="606" w:type="dxa"/>
            <w:tcBorders>
              <w:top w:val="nil"/>
              <w:left w:val="nil"/>
              <w:bottom w:val="nil"/>
              <w:right w:val="nil"/>
            </w:tcBorders>
            <w:shd w:val="clear" w:color="000000" w:fill="FCE4D6"/>
            <w:noWrap/>
            <w:vAlign w:val="center"/>
            <w:hideMark/>
          </w:tcPr>
          <w:p w14:paraId="739FB2EA"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1140" w:type="dxa"/>
            <w:tcBorders>
              <w:top w:val="nil"/>
              <w:left w:val="nil"/>
              <w:bottom w:val="nil"/>
              <w:right w:val="single" w:sz="4" w:space="0" w:color="auto"/>
            </w:tcBorders>
            <w:shd w:val="clear" w:color="000000" w:fill="FCE4D6"/>
            <w:noWrap/>
            <w:vAlign w:val="center"/>
            <w:hideMark/>
          </w:tcPr>
          <w:p w14:paraId="509FBD02"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606" w:type="dxa"/>
            <w:tcBorders>
              <w:top w:val="nil"/>
              <w:left w:val="nil"/>
              <w:bottom w:val="nil"/>
              <w:right w:val="nil"/>
            </w:tcBorders>
            <w:shd w:val="clear" w:color="000000" w:fill="FCE4D6"/>
            <w:noWrap/>
            <w:vAlign w:val="center"/>
            <w:hideMark/>
          </w:tcPr>
          <w:p w14:paraId="1B22D543"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1140" w:type="dxa"/>
            <w:tcBorders>
              <w:top w:val="nil"/>
              <w:left w:val="nil"/>
              <w:bottom w:val="nil"/>
              <w:right w:val="single" w:sz="4" w:space="0" w:color="auto"/>
            </w:tcBorders>
            <w:shd w:val="clear" w:color="000000" w:fill="FCE4D6"/>
            <w:noWrap/>
            <w:vAlign w:val="center"/>
            <w:hideMark/>
          </w:tcPr>
          <w:p w14:paraId="225C3585"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1073" w:type="dxa"/>
            <w:tcBorders>
              <w:top w:val="nil"/>
              <w:left w:val="nil"/>
              <w:bottom w:val="nil"/>
              <w:right w:val="single" w:sz="4" w:space="0" w:color="auto"/>
            </w:tcBorders>
            <w:shd w:val="clear" w:color="auto" w:fill="auto"/>
            <w:noWrap/>
            <w:vAlign w:val="center"/>
            <w:hideMark/>
          </w:tcPr>
          <w:p w14:paraId="467E0269"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1.314</w:t>
            </w:r>
          </w:p>
        </w:tc>
        <w:tc>
          <w:tcPr>
            <w:tcW w:w="1073" w:type="dxa"/>
            <w:tcBorders>
              <w:top w:val="nil"/>
              <w:left w:val="nil"/>
              <w:bottom w:val="nil"/>
              <w:right w:val="single" w:sz="4" w:space="0" w:color="auto"/>
            </w:tcBorders>
            <w:shd w:val="clear" w:color="auto" w:fill="auto"/>
            <w:noWrap/>
            <w:vAlign w:val="center"/>
            <w:hideMark/>
          </w:tcPr>
          <w:p w14:paraId="6B2F60D7"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1.792</w:t>
            </w:r>
          </w:p>
        </w:tc>
        <w:tc>
          <w:tcPr>
            <w:tcW w:w="1073" w:type="dxa"/>
            <w:tcBorders>
              <w:top w:val="nil"/>
              <w:left w:val="nil"/>
              <w:bottom w:val="nil"/>
              <w:right w:val="single" w:sz="4" w:space="0" w:color="auto"/>
            </w:tcBorders>
            <w:shd w:val="clear" w:color="auto" w:fill="auto"/>
            <w:noWrap/>
            <w:vAlign w:val="center"/>
            <w:hideMark/>
          </w:tcPr>
          <w:p w14:paraId="13A30B20"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0.438</w:t>
            </w:r>
          </w:p>
        </w:tc>
      </w:tr>
      <w:tr w:rsidR="00987E86" w:rsidRPr="00987E86" w14:paraId="58715D84" w14:textId="77777777" w:rsidTr="00987E86">
        <w:trPr>
          <w:trHeight w:val="290"/>
        </w:trPr>
        <w:tc>
          <w:tcPr>
            <w:tcW w:w="1617" w:type="dxa"/>
            <w:tcBorders>
              <w:top w:val="nil"/>
              <w:left w:val="single" w:sz="4" w:space="0" w:color="auto"/>
              <w:bottom w:val="nil"/>
              <w:right w:val="single" w:sz="4" w:space="0" w:color="auto"/>
            </w:tcBorders>
            <w:shd w:val="clear" w:color="auto" w:fill="auto"/>
            <w:noWrap/>
            <w:vAlign w:val="center"/>
            <w:hideMark/>
          </w:tcPr>
          <w:p w14:paraId="07600905" w14:textId="77777777" w:rsidR="00987E86" w:rsidRPr="00987E86" w:rsidRDefault="00987E86" w:rsidP="00987E86">
            <w:pPr>
              <w:spacing w:after="0" w:line="240" w:lineRule="auto"/>
              <w:ind w:firstLine="0"/>
              <w:contextualSpacing w:val="0"/>
              <w:jc w:val="left"/>
              <w:rPr>
                <w:rFonts w:eastAsia="Times New Roman" w:cs="Arial"/>
                <w:color w:val="000000"/>
                <w:sz w:val="20"/>
                <w:szCs w:val="20"/>
                <w:lang w:eastAsia="en-GB"/>
              </w:rPr>
            </w:pPr>
            <w:r w:rsidRPr="00987E86">
              <w:rPr>
                <w:rFonts w:eastAsia="Times New Roman" w:cs="Arial"/>
                <w:color w:val="000000"/>
                <w:sz w:val="20"/>
                <w:szCs w:val="20"/>
                <w:lang w:eastAsia="en-GB"/>
              </w:rPr>
              <w:t>H. influenzae</w:t>
            </w:r>
          </w:p>
        </w:tc>
        <w:tc>
          <w:tcPr>
            <w:tcW w:w="740" w:type="dxa"/>
            <w:tcBorders>
              <w:top w:val="nil"/>
              <w:left w:val="nil"/>
              <w:bottom w:val="nil"/>
              <w:right w:val="nil"/>
            </w:tcBorders>
            <w:shd w:val="clear" w:color="auto" w:fill="auto"/>
            <w:vAlign w:val="center"/>
            <w:hideMark/>
          </w:tcPr>
          <w:p w14:paraId="0A46B380"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0.059</w:t>
            </w:r>
          </w:p>
        </w:tc>
        <w:tc>
          <w:tcPr>
            <w:tcW w:w="1073" w:type="dxa"/>
            <w:tcBorders>
              <w:top w:val="nil"/>
              <w:left w:val="nil"/>
              <w:bottom w:val="nil"/>
              <w:right w:val="single" w:sz="4" w:space="0" w:color="auto"/>
            </w:tcBorders>
            <w:shd w:val="clear" w:color="auto" w:fill="auto"/>
            <w:noWrap/>
            <w:vAlign w:val="center"/>
            <w:hideMark/>
          </w:tcPr>
          <w:p w14:paraId="5560EF32"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1.638</w:t>
            </w:r>
          </w:p>
        </w:tc>
        <w:tc>
          <w:tcPr>
            <w:tcW w:w="740" w:type="dxa"/>
            <w:tcBorders>
              <w:top w:val="nil"/>
              <w:left w:val="nil"/>
              <w:bottom w:val="nil"/>
              <w:right w:val="nil"/>
            </w:tcBorders>
            <w:shd w:val="clear" w:color="auto" w:fill="auto"/>
            <w:vAlign w:val="center"/>
            <w:hideMark/>
          </w:tcPr>
          <w:p w14:paraId="02C525C3"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0.067</w:t>
            </w:r>
          </w:p>
        </w:tc>
        <w:tc>
          <w:tcPr>
            <w:tcW w:w="1073" w:type="dxa"/>
            <w:tcBorders>
              <w:top w:val="nil"/>
              <w:left w:val="nil"/>
              <w:bottom w:val="nil"/>
              <w:right w:val="single" w:sz="4" w:space="0" w:color="auto"/>
            </w:tcBorders>
            <w:shd w:val="clear" w:color="auto" w:fill="auto"/>
            <w:noWrap/>
            <w:vAlign w:val="center"/>
            <w:hideMark/>
          </w:tcPr>
          <w:p w14:paraId="60466016"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1.126</w:t>
            </w:r>
          </w:p>
        </w:tc>
        <w:tc>
          <w:tcPr>
            <w:tcW w:w="740" w:type="dxa"/>
            <w:tcBorders>
              <w:top w:val="nil"/>
              <w:left w:val="nil"/>
              <w:bottom w:val="nil"/>
              <w:right w:val="nil"/>
            </w:tcBorders>
            <w:shd w:val="clear" w:color="auto" w:fill="auto"/>
            <w:vAlign w:val="center"/>
            <w:hideMark/>
          </w:tcPr>
          <w:p w14:paraId="06E11952"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0.044</w:t>
            </w:r>
          </w:p>
        </w:tc>
        <w:tc>
          <w:tcPr>
            <w:tcW w:w="1073" w:type="dxa"/>
            <w:tcBorders>
              <w:top w:val="nil"/>
              <w:left w:val="nil"/>
              <w:bottom w:val="nil"/>
              <w:right w:val="single" w:sz="4" w:space="0" w:color="auto"/>
            </w:tcBorders>
            <w:shd w:val="clear" w:color="auto" w:fill="auto"/>
            <w:noWrap/>
            <w:vAlign w:val="center"/>
            <w:hideMark/>
          </w:tcPr>
          <w:p w14:paraId="0495036F"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0.209</w:t>
            </w:r>
          </w:p>
        </w:tc>
        <w:tc>
          <w:tcPr>
            <w:tcW w:w="606" w:type="dxa"/>
            <w:tcBorders>
              <w:top w:val="nil"/>
              <w:left w:val="nil"/>
              <w:bottom w:val="nil"/>
              <w:right w:val="nil"/>
            </w:tcBorders>
            <w:shd w:val="clear" w:color="000000" w:fill="FCE4D6"/>
            <w:noWrap/>
            <w:vAlign w:val="center"/>
            <w:hideMark/>
          </w:tcPr>
          <w:p w14:paraId="63B165FB"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1140" w:type="dxa"/>
            <w:tcBorders>
              <w:top w:val="nil"/>
              <w:left w:val="nil"/>
              <w:bottom w:val="nil"/>
              <w:right w:val="single" w:sz="4" w:space="0" w:color="auto"/>
            </w:tcBorders>
            <w:shd w:val="clear" w:color="000000" w:fill="FCE4D6"/>
            <w:noWrap/>
            <w:vAlign w:val="center"/>
            <w:hideMark/>
          </w:tcPr>
          <w:p w14:paraId="27A231EA"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606" w:type="dxa"/>
            <w:tcBorders>
              <w:top w:val="nil"/>
              <w:left w:val="nil"/>
              <w:bottom w:val="nil"/>
              <w:right w:val="nil"/>
            </w:tcBorders>
            <w:shd w:val="clear" w:color="000000" w:fill="FCE4D6"/>
            <w:noWrap/>
            <w:vAlign w:val="center"/>
            <w:hideMark/>
          </w:tcPr>
          <w:p w14:paraId="1461AEC9"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1140" w:type="dxa"/>
            <w:tcBorders>
              <w:top w:val="nil"/>
              <w:left w:val="nil"/>
              <w:bottom w:val="nil"/>
              <w:right w:val="single" w:sz="4" w:space="0" w:color="auto"/>
            </w:tcBorders>
            <w:shd w:val="clear" w:color="000000" w:fill="FCE4D6"/>
            <w:noWrap/>
            <w:vAlign w:val="center"/>
            <w:hideMark/>
          </w:tcPr>
          <w:p w14:paraId="027B0128"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1073" w:type="dxa"/>
            <w:tcBorders>
              <w:top w:val="nil"/>
              <w:left w:val="nil"/>
              <w:bottom w:val="nil"/>
              <w:right w:val="single" w:sz="4" w:space="0" w:color="auto"/>
            </w:tcBorders>
            <w:shd w:val="clear" w:color="auto" w:fill="auto"/>
            <w:noWrap/>
            <w:vAlign w:val="center"/>
            <w:hideMark/>
          </w:tcPr>
          <w:p w14:paraId="43E80E7C"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1.650</w:t>
            </w:r>
          </w:p>
        </w:tc>
        <w:tc>
          <w:tcPr>
            <w:tcW w:w="1073" w:type="dxa"/>
            <w:tcBorders>
              <w:top w:val="nil"/>
              <w:left w:val="nil"/>
              <w:bottom w:val="nil"/>
              <w:right w:val="single" w:sz="4" w:space="0" w:color="auto"/>
            </w:tcBorders>
            <w:shd w:val="clear" w:color="auto" w:fill="auto"/>
            <w:noWrap/>
            <w:vAlign w:val="center"/>
            <w:hideMark/>
          </w:tcPr>
          <w:p w14:paraId="3880724F"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1.133</w:t>
            </w:r>
          </w:p>
        </w:tc>
        <w:tc>
          <w:tcPr>
            <w:tcW w:w="1073" w:type="dxa"/>
            <w:tcBorders>
              <w:top w:val="nil"/>
              <w:left w:val="nil"/>
              <w:bottom w:val="nil"/>
              <w:right w:val="single" w:sz="4" w:space="0" w:color="auto"/>
            </w:tcBorders>
            <w:shd w:val="clear" w:color="auto" w:fill="auto"/>
            <w:noWrap/>
            <w:vAlign w:val="center"/>
            <w:hideMark/>
          </w:tcPr>
          <w:p w14:paraId="32AE0137"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0.209</w:t>
            </w:r>
          </w:p>
        </w:tc>
      </w:tr>
      <w:tr w:rsidR="00987E86" w:rsidRPr="00987E86" w14:paraId="115F0AFB" w14:textId="77777777" w:rsidTr="00987E86">
        <w:trPr>
          <w:trHeight w:val="290"/>
        </w:trPr>
        <w:tc>
          <w:tcPr>
            <w:tcW w:w="1617" w:type="dxa"/>
            <w:tcBorders>
              <w:top w:val="nil"/>
              <w:left w:val="single" w:sz="4" w:space="0" w:color="auto"/>
              <w:bottom w:val="nil"/>
              <w:right w:val="single" w:sz="4" w:space="0" w:color="auto"/>
            </w:tcBorders>
            <w:shd w:val="clear" w:color="auto" w:fill="auto"/>
            <w:noWrap/>
            <w:vAlign w:val="center"/>
            <w:hideMark/>
          </w:tcPr>
          <w:p w14:paraId="101D762F" w14:textId="77777777" w:rsidR="00987E86" w:rsidRPr="00987E86" w:rsidRDefault="00987E86" w:rsidP="00987E86">
            <w:pPr>
              <w:spacing w:after="0" w:line="240" w:lineRule="auto"/>
              <w:ind w:firstLine="0"/>
              <w:contextualSpacing w:val="0"/>
              <w:jc w:val="left"/>
              <w:rPr>
                <w:rFonts w:eastAsia="Times New Roman" w:cs="Arial"/>
                <w:color w:val="000000"/>
                <w:sz w:val="20"/>
                <w:szCs w:val="20"/>
                <w:lang w:eastAsia="en-GB"/>
              </w:rPr>
            </w:pPr>
            <w:r w:rsidRPr="00987E86">
              <w:rPr>
                <w:rFonts w:eastAsia="Times New Roman" w:cs="Arial"/>
                <w:color w:val="000000"/>
                <w:sz w:val="20"/>
                <w:szCs w:val="20"/>
                <w:lang w:eastAsia="en-GB"/>
              </w:rPr>
              <w:t>Staphylococcus</w:t>
            </w:r>
          </w:p>
        </w:tc>
        <w:tc>
          <w:tcPr>
            <w:tcW w:w="740" w:type="dxa"/>
            <w:tcBorders>
              <w:top w:val="nil"/>
              <w:left w:val="nil"/>
              <w:bottom w:val="nil"/>
              <w:right w:val="nil"/>
            </w:tcBorders>
            <w:shd w:val="clear" w:color="auto" w:fill="auto"/>
            <w:vAlign w:val="center"/>
            <w:hideMark/>
          </w:tcPr>
          <w:p w14:paraId="554BABC2"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0.037</w:t>
            </w:r>
          </w:p>
        </w:tc>
        <w:tc>
          <w:tcPr>
            <w:tcW w:w="1073" w:type="dxa"/>
            <w:tcBorders>
              <w:top w:val="nil"/>
              <w:left w:val="nil"/>
              <w:bottom w:val="nil"/>
              <w:right w:val="single" w:sz="4" w:space="0" w:color="auto"/>
            </w:tcBorders>
            <w:shd w:val="clear" w:color="auto" w:fill="auto"/>
            <w:noWrap/>
            <w:vAlign w:val="center"/>
            <w:hideMark/>
          </w:tcPr>
          <w:p w14:paraId="530924A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1.027</w:t>
            </w:r>
          </w:p>
        </w:tc>
        <w:tc>
          <w:tcPr>
            <w:tcW w:w="740" w:type="dxa"/>
            <w:tcBorders>
              <w:top w:val="nil"/>
              <w:left w:val="nil"/>
              <w:bottom w:val="nil"/>
              <w:right w:val="nil"/>
            </w:tcBorders>
            <w:shd w:val="clear" w:color="auto" w:fill="auto"/>
            <w:vAlign w:val="center"/>
            <w:hideMark/>
          </w:tcPr>
          <w:p w14:paraId="20CF8863"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0.009</w:t>
            </w:r>
          </w:p>
        </w:tc>
        <w:tc>
          <w:tcPr>
            <w:tcW w:w="1073" w:type="dxa"/>
            <w:tcBorders>
              <w:top w:val="nil"/>
              <w:left w:val="nil"/>
              <w:bottom w:val="nil"/>
              <w:right w:val="single" w:sz="4" w:space="0" w:color="auto"/>
            </w:tcBorders>
            <w:shd w:val="clear" w:color="auto" w:fill="auto"/>
            <w:noWrap/>
            <w:vAlign w:val="center"/>
            <w:hideMark/>
          </w:tcPr>
          <w:p w14:paraId="54B00B8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0.151</w:t>
            </w:r>
          </w:p>
        </w:tc>
        <w:tc>
          <w:tcPr>
            <w:tcW w:w="740" w:type="dxa"/>
            <w:tcBorders>
              <w:top w:val="nil"/>
              <w:left w:val="nil"/>
              <w:bottom w:val="nil"/>
              <w:right w:val="nil"/>
            </w:tcBorders>
            <w:shd w:val="clear" w:color="auto" w:fill="auto"/>
            <w:vAlign w:val="center"/>
            <w:hideMark/>
          </w:tcPr>
          <w:p w14:paraId="00B6A0B9"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0.012</w:t>
            </w:r>
          </w:p>
        </w:tc>
        <w:tc>
          <w:tcPr>
            <w:tcW w:w="1073" w:type="dxa"/>
            <w:tcBorders>
              <w:top w:val="nil"/>
              <w:left w:val="nil"/>
              <w:bottom w:val="nil"/>
              <w:right w:val="single" w:sz="4" w:space="0" w:color="auto"/>
            </w:tcBorders>
            <w:shd w:val="clear" w:color="auto" w:fill="auto"/>
            <w:noWrap/>
            <w:vAlign w:val="center"/>
            <w:hideMark/>
          </w:tcPr>
          <w:p w14:paraId="79407D8B"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0.057</w:t>
            </w:r>
          </w:p>
        </w:tc>
        <w:tc>
          <w:tcPr>
            <w:tcW w:w="606" w:type="dxa"/>
            <w:tcBorders>
              <w:top w:val="nil"/>
              <w:left w:val="nil"/>
              <w:bottom w:val="nil"/>
              <w:right w:val="nil"/>
            </w:tcBorders>
            <w:shd w:val="clear" w:color="000000" w:fill="FCE4D6"/>
            <w:noWrap/>
            <w:vAlign w:val="center"/>
            <w:hideMark/>
          </w:tcPr>
          <w:p w14:paraId="3A1D415F"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1140" w:type="dxa"/>
            <w:tcBorders>
              <w:top w:val="nil"/>
              <w:left w:val="nil"/>
              <w:bottom w:val="nil"/>
              <w:right w:val="single" w:sz="4" w:space="0" w:color="auto"/>
            </w:tcBorders>
            <w:shd w:val="clear" w:color="000000" w:fill="FCE4D6"/>
            <w:noWrap/>
            <w:vAlign w:val="center"/>
            <w:hideMark/>
          </w:tcPr>
          <w:p w14:paraId="0F61B2E8"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606" w:type="dxa"/>
            <w:tcBorders>
              <w:top w:val="nil"/>
              <w:left w:val="nil"/>
              <w:bottom w:val="nil"/>
              <w:right w:val="nil"/>
            </w:tcBorders>
            <w:shd w:val="clear" w:color="000000" w:fill="FCE4D6"/>
            <w:noWrap/>
            <w:vAlign w:val="center"/>
            <w:hideMark/>
          </w:tcPr>
          <w:p w14:paraId="32191625"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1140" w:type="dxa"/>
            <w:tcBorders>
              <w:top w:val="nil"/>
              <w:left w:val="nil"/>
              <w:bottom w:val="nil"/>
              <w:right w:val="single" w:sz="4" w:space="0" w:color="auto"/>
            </w:tcBorders>
            <w:shd w:val="clear" w:color="000000" w:fill="FCE4D6"/>
            <w:noWrap/>
            <w:vAlign w:val="center"/>
            <w:hideMark/>
          </w:tcPr>
          <w:p w14:paraId="07735533"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1073" w:type="dxa"/>
            <w:tcBorders>
              <w:top w:val="nil"/>
              <w:left w:val="nil"/>
              <w:bottom w:val="nil"/>
              <w:right w:val="single" w:sz="4" w:space="0" w:color="auto"/>
            </w:tcBorders>
            <w:shd w:val="clear" w:color="auto" w:fill="auto"/>
            <w:noWrap/>
            <w:vAlign w:val="center"/>
            <w:hideMark/>
          </w:tcPr>
          <w:p w14:paraId="6E982B2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1.035</w:t>
            </w:r>
          </w:p>
        </w:tc>
        <w:tc>
          <w:tcPr>
            <w:tcW w:w="1073" w:type="dxa"/>
            <w:tcBorders>
              <w:top w:val="nil"/>
              <w:left w:val="nil"/>
              <w:bottom w:val="nil"/>
              <w:right w:val="single" w:sz="4" w:space="0" w:color="auto"/>
            </w:tcBorders>
            <w:shd w:val="clear" w:color="auto" w:fill="auto"/>
            <w:noWrap/>
            <w:vAlign w:val="center"/>
            <w:hideMark/>
          </w:tcPr>
          <w:p w14:paraId="5EBBE4F5"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0.152</w:t>
            </w:r>
          </w:p>
        </w:tc>
        <w:tc>
          <w:tcPr>
            <w:tcW w:w="1073" w:type="dxa"/>
            <w:tcBorders>
              <w:top w:val="nil"/>
              <w:left w:val="nil"/>
              <w:bottom w:val="nil"/>
              <w:right w:val="single" w:sz="4" w:space="0" w:color="auto"/>
            </w:tcBorders>
            <w:shd w:val="clear" w:color="auto" w:fill="auto"/>
            <w:noWrap/>
            <w:vAlign w:val="center"/>
            <w:hideMark/>
          </w:tcPr>
          <w:p w14:paraId="694B85F6"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0.057</w:t>
            </w:r>
          </w:p>
        </w:tc>
      </w:tr>
      <w:tr w:rsidR="00987E86" w:rsidRPr="00987E86" w14:paraId="68F3DD43" w14:textId="77777777" w:rsidTr="00987E86">
        <w:trPr>
          <w:trHeight w:val="290"/>
        </w:trPr>
        <w:tc>
          <w:tcPr>
            <w:tcW w:w="1617" w:type="dxa"/>
            <w:tcBorders>
              <w:top w:val="nil"/>
              <w:left w:val="single" w:sz="4" w:space="0" w:color="auto"/>
              <w:bottom w:val="nil"/>
              <w:right w:val="single" w:sz="4" w:space="0" w:color="auto"/>
            </w:tcBorders>
            <w:shd w:val="clear" w:color="auto" w:fill="auto"/>
            <w:noWrap/>
            <w:vAlign w:val="center"/>
            <w:hideMark/>
          </w:tcPr>
          <w:p w14:paraId="06350625" w14:textId="77777777" w:rsidR="00987E86" w:rsidRPr="00987E86" w:rsidRDefault="00987E86" w:rsidP="00987E86">
            <w:pPr>
              <w:spacing w:after="0" w:line="240" w:lineRule="auto"/>
              <w:ind w:firstLine="0"/>
              <w:contextualSpacing w:val="0"/>
              <w:jc w:val="left"/>
              <w:rPr>
                <w:rFonts w:eastAsia="Times New Roman" w:cs="Arial"/>
                <w:color w:val="000000"/>
                <w:sz w:val="20"/>
                <w:szCs w:val="20"/>
                <w:lang w:eastAsia="en-GB"/>
              </w:rPr>
            </w:pPr>
            <w:r w:rsidRPr="00987E86">
              <w:rPr>
                <w:rFonts w:eastAsia="Times New Roman" w:cs="Arial"/>
                <w:color w:val="000000"/>
                <w:sz w:val="20"/>
                <w:szCs w:val="20"/>
                <w:lang w:eastAsia="en-GB"/>
              </w:rPr>
              <w:t>Influenza</w:t>
            </w:r>
          </w:p>
        </w:tc>
        <w:tc>
          <w:tcPr>
            <w:tcW w:w="740" w:type="dxa"/>
            <w:tcBorders>
              <w:top w:val="nil"/>
              <w:left w:val="nil"/>
              <w:bottom w:val="nil"/>
              <w:right w:val="nil"/>
            </w:tcBorders>
            <w:shd w:val="clear" w:color="auto" w:fill="auto"/>
            <w:vAlign w:val="center"/>
            <w:hideMark/>
          </w:tcPr>
          <w:p w14:paraId="3B396D71"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0.016</w:t>
            </w:r>
          </w:p>
        </w:tc>
        <w:tc>
          <w:tcPr>
            <w:tcW w:w="1073" w:type="dxa"/>
            <w:tcBorders>
              <w:top w:val="nil"/>
              <w:left w:val="nil"/>
              <w:bottom w:val="nil"/>
              <w:right w:val="single" w:sz="4" w:space="0" w:color="auto"/>
            </w:tcBorders>
            <w:shd w:val="clear" w:color="auto" w:fill="auto"/>
            <w:noWrap/>
            <w:vAlign w:val="center"/>
            <w:hideMark/>
          </w:tcPr>
          <w:p w14:paraId="2528642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0.444</w:t>
            </w:r>
          </w:p>
        </w:tc>
        <w:tc>
          <w:tcPr>
            <w:tcW w:w="740" w:type="dxa"/>
            <w:tcBorders>
              <w:top w:val="nil"/>
              <w:left w:val="nil"/>
              <w:bottom w:val="nil"/>
              <w:right w:val="nil"/>
            </w:tcBorders>
            <w:shd w:val="clear" w:color="auto" w:fill="auto"/>
            <w:vAlign w:val="center"/>
            <w:hideMark/>
          </w:tcPr>
          <w:p w14:paraId="1996759F"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0.029</w:t>
            </w:r>
          </w:p>
        </w:tc>
        <w:tc>
          <w:tcPr>
            <w:tcW w:w="1073" w:type="dxa"/>
            <w:tcBorders>
              <w:top w:val="nil"/>
              <w:left w:val="nil"/>
              <w:bottom w:val="nil"/>
              <w:right w:val="single" w:sz="4" w:space="0" w:color="auto"/>
            </w:tcBorders>
            <w:shd w:val="clear" w:color="auto" w:fill="auto"/>
            <w:noWrap/>
            <w:vAlign w:val="center"/>
            <w:hideMark/>
          </w:tcPr>
          <w:p w14:paraId="3C2B259C"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0.487</w:t>
            </w:r>
          </w:p>
        </w:tc>
        <w:tc>
          <w:tcPr>
            <w:tcW w:w="740" w:type="dxa"/>
            <w:tcBorders>
              <w:top w:val="nil"/>
              <w:left w:val="nil"/>
              <w:bottom w:val="nil"/>
              <w:right w:val="nil"/>
            </w:tcBorders>
            <w:shd w:val="clear" w:color="auto" w:fill="auto"/>
            <w:noWrap/>
            <w:vAlign w:val="center"/>
            <w:hideMark/>
          </w:tcPr>
          <w:p w14:paraId="5E4EAB22"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0.032</w:t>
            </w:r>
          </w:p>
        </w:tc>
        <w:tc>
          <w:tcPr>
            <w:tcW w:w="1073" w:type="dxa"/>
            <w:tcBorders>
              <w:top w:val="nil"/>
              <w:left w:val="nil"/>
              <w:bottom w:val="nil"/>
              <w:right w:val="single" w:sz="4" w:space="0" w:color="auto"/>
            </w:tcBorders>
            <w:shd w:val="clear" w:color="auto" w:fill="auto"/>
            <w:noWrap/>
            <w:vAlign w:val="center"/>
            <w:hideMark/>
          </w:tcPr>
          <w:p w14:paraId="0B0832E9"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0.152</w:t>
            </w:r>
          </w:p>
        </w:tc>
        <w:tc>
          <w:tcPr>
            <w:tcW w:w="606" w:type="dxa"/>
            <w:tcBorders>
              <w:top w:val="nil"/>
              <w:left w:val="nil"/>
              <w:bottom w:val="nil"/>
              <w:right w:val="nil"/>
            </w:tcBorders>
            <w:shd w:val="clear" w:color="000000" w:fill="FCE4D6"/>
            <w:noWrap/>
            <w:vAlign w:val="center"/>
            <w:hideMark/>
          </w:tcPr>
          <w:p w14:paraId="5495DC46"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w:t>
            </w:r>
          </w:p>
        </w:tc>
        <w:tc>
          <w:tcPr>
            <w:tcW w:w="1140" w:type="dxa"/>
            <w:tcBorders>
              <w:top w:val="nil"/>
              <w:left w:val="nil"/>
              <w:bottom w:val="nil"/>
              <w:right w:val="single" w:sz="4" w:space="0" w:color="auto"/>
            </w:tcBorders>
            <w:shd w:val="clear" w:color="000000" w:fill="FCE4D6"/>
            <w:noWrap/>
            <w:vAlign w:val="center"/>
            <w:hideMark/>
          </w:tcPr>
          <w:p w14:paraId="14305C26"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1.3615</w:t>
            </w:r>
          </w:p>
        </w:tc>
        <w:tc>
          <w:tcPr>
            <w:tcW w:w="606" w:type="dxa"/>
            <w:tcBorders>
              <w:top w:val="nil"/>
              <w:left w:val="nil"/>
              <w:bottom w:val="nil"/>
              <w:right w:val="nil"/>
            </w:tcBorders>
            <w:shd w:val="clear" w:color="000000" w:fill="FCE4D6"/>
            <w:noWrap/>
            <w:vAlign w:val="center"/>
            <w:hideMark/>
          </w:tcPr>
          <w:p w14:paraId="1E4BD4CE"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w:t>
            </w:r>
          </w:p>
        </w:tc>
        <w:tc>
          <w:tcPr>
            <w:tcW w:w="1140" w:type="dxa"/>
            <w:tcBorders>
              <w:top w:val="nil"/>
              <w:left w:val="nil"/>
              <w:bottom w:val="nil"/>
              <w:right w:val="single" w:sz="4" w:space="0" w:color="auto"/>
            </w:tcBorders>
            <w:shd w:val="clear" w:color="000000" w:fill="FCE4D6"/>
            <w:noWrap/>
            <w:vAlign w:val="center"/>
            <w:hideMark/>
          </w:tcPr>
          <w:p w14:paraId="5E2FA2C0"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0.701</w:t>
            </w:r>
          </w:p>
        </w:tc>
        <w:tc>
          <w:tcPr>
            <w:tcW w:w="1073" w:type="dxa"/>
            <w:tcBorders>
              <w:top w:val="nil"/>
              <w:left w:val="nil"/>
              <w:bottom w:val="nil"/>
              <w:right w:val="single" w:sz="4" w:space="0" w:color="auto"/>
            </w:tcBorders>
            <w:shd w:val="clear" w:color="auto" w:fill="auto"/>
            <w:noWrap/>
            <w:vAlign w:val="center"/>
            <w:hideMark/>
          </w:tcPr>
          <w:p w14:paraId="6483774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1.806</w:t>
            </w:r>
          </w:p>
        </w:tc>
        <w:tc>
          <w:tcPr>
            <w:tcW w:w="1073" w:type="dxa"/>
            <w:tcBorders>
              <w:top w:val="nil"/>
              <w:left w:val="nil"/>
              <w:bottom w:val="nil"/>
              <w:right w:val="single" w:sz="4" w:space="0" w:color="auto"/>
            </w:tcBorders>
            <w:shd w:val="clear" w:color="auto" w:fill="auto"/>
            <w:noWrap/>
            <w:vAlign w:val="center"/>
            <w:hideMark/>
          </w:tcPr>
          <w:p w14:paraId="22834B8A"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1.188</w:t>
            </w:r>
          </w:p>
        </w:tc>
        <w:tc>
          <w:tcPr>
            <w:tcW w:w="1073" w:type="dxa"/>
            <w:tcBorders>
              <w:top w:val="nil"/>
              <w:left w:val="nil"/>
              <w:bottom w:val="nil"/>
              <w:right w:val="single" w:sz="4" w:space="0" w:color="auto"/>
            </w:tcBorders>
            <w:shd w:val="clear" w:color="auto" w:fill="auto"/>
            <w:noWrap/>
            <w:vAlign w:val="center"/>
            <w:hideMark/>
          </w:tcPr>
          <w:p w14:paraId="21F5ACD3"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0.152</w:t>
            </w:r>
          </w:p>
        </w:tc>
      </w:tr>
      <w:tr w:rsidR="00987E86" w:rsidRPr="00987E86" w14:paraId="29196BDE" w14:textId="77777777" w:rsidTr="00987E86">
        <w:trPr>
          <w:trHeight w:val="290"/>
        </w:trPr>
        <w:tc>
          <w:tcPr>
            <w:tcW w:w="1617" w:type="dxa"/>
            <w:tcBorders>
              <w:top w:val="nil"/>
              <w:left w:val="single" w:sz="4" w:space="0" w:color="auto"/>
              <w:bottom w:val="nil"/>
              <w:right w:val="single" w:sz="4" w:space="0" w:color="auto"/>
            </w:tcBorders>
            <w:shd w:val="clear" w:color="auto" w:fill="auto"/>
            <w:noWrap/>
            <w:vAlign w:val="center"/>
            <w:hideMark/>
          </w:tcPr>
          <w:p w14:paraId="6E7C3F89" w14:textId="77777777" w:rsidR="00987E86" w:rsidRPr="00987E86" w:rsidRDefault="00987E86" w:rsidP="00987E86">
            <w:pPr>
              <w:spacing w:after="0" w:line="240" w:lineRule="auto"/>
              <w:ind w:firstLine="0"/>
              <w:contextualSpacing w:val="0"/>
              <w:jc w:val="left"/>
              <w:rPr>
                <w:rFonts w:eastAsia="Times New Roman" w:cs="Arial"/>
                <w:color w:val="000000"/>
                <w:sz w:val="20"/>
                <w:szCs w:val="20"/>
                <w:lang w:eastAsia="en-GB"/>
              </w:rPr>
            </w:pPr>
            <w:r w:rsidRPr="00987E86">
              <w:rPr>
                <w:rFonts w:eastAsia="Times New Roman" w:cs="Arial"/>
                <w:color w:val="000000"/>
                <w:sz w:val="20"/>
                <w:szCs w:val="20"/>
                <w:lang w:eastAsia="en-GB"/>
              </w:rPr>
              <w:t>P.jirovecii</w:t>
            </w:r>
          </w:p>
        </w:tc>
        <w:tc>
          <w:tcPr>
            <w:tcW w:w="740" w:type="dxa"/>
            <w:tcBorders>
              <w:top w:val="nil"/>
              <w:left w:val="nil"/>
              <w:bottom w:val="nil"/>
              <w:right w:val="nil"/>
            </w:tcBorders>
            <w:shd w:val="clear" w:color="auto" w:fill="auto"/>
            <w:vAlign w:val="center"/>
            <w:hideMark/>
          </w:tcPr>
          <w:p w14:paraId="2F9E4FB3"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0.030</w:t>
            </w:r>
          </w:p>
        </w:tc>
        <w:tc>
          <w:tcPr>
            <w:tcW w:w="1073" w:type="dxa"/>
            <w:tcBorders>
              <w:top w:val="nil"/>
              <w:left w:val="nil"/>
              <w:bottom w:val="nil"/>
              <w:right w:val="single" w:sz="4" w:space="0" w:color="auto"/>
            </w:tcBorders>
            <w:shd w:val="clear" w:color="auto" w:fill="auto"/>
            <w:noWrap/>
            <w:vAlign w:val="center"/>
            <w:hideMark/>
          </w:tcPr>
          <w:p w14:paraId="67645347"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0.833</w:t>
            </w:r>
          </w:p>
        </w:tc>
        <w:tc>
          <w:tcPr>
            <w:tcW w:w="740" w:type="dxa"/>
            <w:tcBorders>
              <w:top w:val="nil"/>
              <w:left w:val="nil"/>
              <w:bottom w:val="nil"/>
              <w:right w:val="nil"/>
            </w:tcBorders>
            <w:shd w:val="clear" w:color="auto" w:fill="auto"/>
            <w:noWrap/>
            <w:vAlign w:val="center"/>
            <w:hideMark/>
          </w:tcPr>
          <w:p w14:paraId="0EDBAF0D"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0.004</w:t>
            </w:r>
          </w:p>
        </w:tc>
        <w:tc>
          <w:tcPr>
            <w:tcW w:w="1073" w:type="dxa"/>
            <w:tcBorders>
              <w:top w:val="nil"/>
              <w:left w:val="nil"/>
              <w:bottom w:val="nil"/>
              <w:right w:val="single" w:sz="4" w:space="0" w:color="auto"/>
            </w:tcBorders>
            <w:shd w:val="clear" w:color="auto" w:fill="auto"/>
            <w:noWrap/>
            <w:vAlign w:val="center"/>
            <w:hideMark/>
          </w:tcPr>
          <w:p w14:paraId="1CD73A8D"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0.067</w:t>
            </w:r>
          </w:p>
        </w:tc>
        <w:tc>
          <w:tcPr>
            <w:tcW w:w="740" w:type="dxa"/>
            <w:tcBorders>
              <w:top w:val="nil"/>
              <w:left w:val="nil"/>
              <w:bottom w:val="nil"/>
              <w:right w:val="nil"/>
            </w:tcBorders>
            <w:shd w:val="clear" w:color="auto" w:fill="auto"/>
            <w:noWrap/>
            <w:vAlign w:val="center"/>
            <w:hideMark/>
          </w:tcPr>
          <w:p w14:paraId="07EDE8E0"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0.002</w:t>
            </w:r>
          </w:p>
        </w:tc>
        <w:tc>
          <w:tcPr>
            <w:tcW w:w="1073" w:type="dxa"/>
            <w:tcBorders>
              <w:top w:val="nil"/>
              <w:left w:val="nil"/>
              <w:bottom w:val="nil"/>
              <w:right w:val="single" w:sz="4" w:space="0" w:color="auto"/>
            </w:tcBorders>
            <w:shd w:val="clear" w:color="auto" w:fill="auto"/>
            <w:noWrap/>
            <w:vAlign w:val="center"/>
            <w:hideMark/>
          </w:tcPr>
          <w:p w14:paraId="4D0B8EF3"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0.010</w:t>
            </w:r>
          </w:p>
        </w:tc>
        <w:tc>
          <w:tcPr>
            <w:tcW w:w="606" w:type="dxa"/>
            <w:tcBorders>
              <w:top w:val="nil"/>
              <w:left w:val="nil"/>
              <w:bottom w:val="nil"/>
              <w:right w:val="nil"/>
            </w:tcBorders>
            <w:shd w:val="clear" w:color="000000" w:fill="FCE4D6"/>
            <w:noWrap/>
            <w:vAlign w:val="center"/>
            <w:hideMark/>
          </w:tcPr>
          <w:p w14:paraId="4F77D53F"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1140" w:type="dxa"/>
            <w:tcBorders>
              <w:top w:val="nil"/>
              <w:left w:val="nil"/>
              <w:bottom w:val="nil"/>
              <w:right w:val="single" w:sz="4" w:space="0" w:color="auto"/>
            </w:tcBorders>
            <w:shd w:val="clear" w:color="000000" w:fill="FCE4D6"/>
            <w:noWrap/>
            <w:vAlign w:val="center"/>
            <w:hideMark/>
          </w:tcPr>
          <w:p w14:paraId="433CAAFA"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606" w:type="dxa"/>
            <w:tcBorders>
              <w:top w:val="nil"/>
              <w:left w:val="nil"/>
              <w:bottom w:val="nil"/>
              <w:right w:val="nil"/>
            </w:tcBorders>
            <w:shd w:val="clear" w:color="000000" w:fill="FCE4D6"/>
            <w:noWrap/>
            <w:vAlign w:val="center"/>
            <w:hideMark/>
          </w:tcPr>
          <w:p w14:paraId="0978118A"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1140" w:type="dxa"/>
            <w:tcBorders>
              <w:top w:val="nil"/>
              <w:left w:val="nil"/>
              <w:bottom w:val="nil"/>
              <w:right w:val="single" w:sz="4" w:space="0" w:color="auto"/>
            </w:tcBorders>
            <w:shd w:val="clear" w:color="000000" w:fill="FCE4D6"/>
            <w:noWrap/>
            <w:vAlign w:val="center"/>
            <w:hideMark/>
          </w:tcPr>
          <w:p w14:paraId="5E459101"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1073" w:type="dxa"/>
            <w:tcBorders>
              <w:top w:val="nil"/>
              <w:left w:val="nil"/>
              <w:bottom w:val="nil"/>
              <w:right w:val="single" w:sz="4" w:space="0" w:color="auto"/>
            </w:tcBorders>
            <w:shd w:val="clear" w:color="auto" w:fill="auto"/>
            <w:noWrap/>
            <w:vAlign w:val="center"/>
            <w:hideMark/>
          </w:tcPr>
          <w:p w14:paraId="2DD8C435"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0.839</w:t>
            </w:r>
          </w:p>
        </w:tc>
        <w:tc>
          <w:tcPr>
            <w:tcW w:w="1073" w:type="dxa"/>
            <w:tcBorders>
              <w:top w:val="nil"/>
              <w:left w:val="nil"/>
              <w:bottom w:val="nil"/>
              <w:right w:val="single" w:sz="4" w:space="0" w:color="auto"/>
            </w:tcBorders>
            <w:shd w:val="clear" w:color="auto" w:fill="auto"/>
            <w:noWrap/>
            <w:vAlign w:val="center"/>
            <w:hideMark/>
          </w:tcPr>
          <w:p w14:paraId="6FEBEDDB"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0.068</w:t>
            </w:r>
          </w:p>
        </w:tc>
        <w:tc>
          <w:tcPr>
            <w:tcW w:w="1073" w:type="dxa"/>
            <w:tcBorders>
              <w:top w:val="nil"/>
              <w:left w:val="nil"/>
              <w:bottom w:val="nil"/>
              <w:right w:val="single" w:sz="4" w:space="0" w:color="auto"/>
            </w:tcBorders>
            <w:shd w:val="clear" w:color="auto" w:fill="auto"/>
            <w:noWrap/>
            <w:vAlign w:val="center"/>
            <w:hideMark/>
          </w:tcPr>
          <w:p w14:paraId="4910EB23"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0.010</w:t>
            </w:r>
          </w:p>
        </w:tc>
      </w:tr>
      <w:tr w:rsidR="00987E86" w:rsidRPr="00987E86" w14:paraId="073DF9A7" w14:textId="77777777" w:rsidTr="00987E86">
        <w:trPr>
          <w:trHeight w:val="290"/>
        </w:trPr>
        <w:tc>
          <w:tcPr>
            <w:tcW w:w="1617" w:type="dxa"/>
            <w:tcBorders>
              <w:top w:val="nil"/>
              <w:left w:val="single" w:sz="4" w:space="0" w:color="auto"/>
              <w:bottom w:val="nil"/>
              <w:right w:val="single" w:sz="4" w:space="0" w:color="auto"/>
            </w:tcBorders>
            <w:shd w:val="clear" w:color="auto" w:fill="auto"/>
            <w:noWrap/>
            <w:vAlign w:val="center"/>
            <w:hideMark/>
          </w:tcPr>
          <w:p w14:paraId="4F4BE86F" w14:textId="77777777" w:rsidR="00987E86" w:rsidRPr="00987E86" w:rsidRDefault="00987E86" w:rsidP="00987E86">
            <w:pPr>
              <w:spacing w:after="0" w:line="240" w:lineRule="auto"/>
              <w:ind w:firstLine="0"/>
              <w:contextualSpacing w:val="0"/>
              <w:jc w:val="left"/>
              <w:rPr>
                <w:rFonts w:eastAsia="Times New Roman" w:cs="Arial"/>
                <w:color w:val="000000"/>
                <w:sz w:val="20"/>
                <w:szCs w:val="20"/>
                <w:lang w:eastAsia="en-GB"/>
              </w:rPr>
            </w:pPr>
            <w:r w:rsidRPr="00987E86">
              <w:rPr>
                <w:rFonts w:eastAsia="Times New Roman" w:cs="Arial"/>
                <w:color w:val="000000"/>
                <w:sz w:val="20"/>
                <w:szCs w:val="20"/>
                <w:lang w:eastAsia="en-GB"/>
              </w:rPr>
              <w:t>Adenovirus</w:t>
            </w:r>
          </w:p>
        </w:tc>
        <w:tc>
          <w:tcPr>
            <w:tcW w:w="740" w:type="dxa"/>
            <w:tcBorders>
              <w:top w:val="nil"/>
              <w:left w:val="nil"/>
              <w:bottom w:val="nil"/>
              <w:right w:val="nil"/>
            </w:tcBorders>
            <w:shd w:val="clear" w:color="auto" w:fill="auto"/>
            <w:vAlign w:val="center"/>
            <w:hideMark/>
          </w:tcPr>
          <w:p w14:paraId="2E20BA6D"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w:t>
            </w:r>
          </w:p>
        </w:tc>
        <w:tc>
          <w:tcPr>
            <w:tcW w:w="1073" w:type="dxa"/>
            <w:tcBorders>
              <w:top w:val="nil"/>
              <w:left w:val="nil"/>
              <w:bottom w:val="nil"/>
              <w:right w:val="single" w:sz="4" w:space="0" w:color="auto"/>
            </w:tcBorders>
            <w:shd w:val="clear" w:color="auto" w:fill="auto"/>
            <w:noWrap/>
            <w:vAlign w:val="center"/>
            <w:hideMark/>
          </w:tcPr>
          <w:p w14:paraId="389CA1BE"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740" w:type="dxa"/>
            <w:tcBorders>
              <w:top w:val="nil"/>
              <w:left w:val="nil"/>
              <w:bottom w:val="nil"/>
              <w:right w:val="nil"/>
            </w:tcBorders>
            <w:shd w:val="clear" w:color="auto" w:fill="auto"/>
            <w:noWrap/>
            <w:vAlign w:val="center"/>
            <w:hideMark/>
          </w:tcPr>
          <w:p w14:paraId="6BF5CE10"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1073" w:type="dxa"/>
            <w:tcBorders>
              <w:top w:val="nil"/>
              <w:left w:val="nil"/>
              <w:bottom w:val="nil"/>
              <w:right w:val="single" w:sz="4" w:space="0" w:color="auto"/>
            </w:tcBorders>
            <w:shd w:val="clear" w:color="auto" w:fill="auto"/>
            <w:noWrap/>
            <w:vAlign w:val="center"/>
            <w:hideMark/>
          </w:tcPr>
          <w:p w14:paraId="4FEF260F"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740" w:type="dxa"/>
            <w:tcBorders>
              <w:top w:val="nil"/>
              <w:left w:val="nil"/>
              <w:bottom w:val="nil"/>
              <w:right w:val="nil"/>
            </w:tcBorders>
            <w:shd w:val="clear" w:color="auto" w:fill="auto"/>
            <w:noWrap/>
            <w:vAlign w:val="center"/>
            <w:hideMark/>
          </w:tcPr>
          <w:p w14:paraId="2493FD2B"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 </w:t>
            </w:r>
          </w:p>
        </w:tc>
        <w:tc>
          <w:tcPr>
            <w:tcW w:w="1073" w:type="dxa"/>
            <w:tcBorders>
              <w:top w:val="nil"/>
              <w:left w:val="nil"/>
              <w:bottom w:val="nil"/>
              <w:right w:val="single" w:sz="4" w:space="0" w:color="auto"/>
            </w:tcBorders>
            <w:shd w:val="clear" w:color="auto" w:fill="auto"/>
            <w:noWrap/>
            <w:vAlign w:val="center"/>
            <w:hideMark/>
          </w:tcPr>
          <w:p w14:paraId="5C642DCA"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606" w:type="dxa"/>
            <w:tcBorders>
              <w:top w:val="nil"/>
              <w:left w:val="nil"/>
              <w:bottom w:val="nil"/>
              <w:right w:val="nil"/>
            </w:tcBorders>
            <w:shd w:val="clear" w:color="000000" w:fill="FCE4D6"/>
            <w:noWrap/>
            <w:vAlign w:val="center"/>
            <w:hideMark/>
          </w:tcPr>
          <w:p w14:paraId="0A3D900D"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w:t>
            </w:r>
          </w:p>
        </w:tc>
        <w:tc>
          <w:tcPr>
            <w:tcW w:w="1140" w:type="dxa"/>
            <w:tcBorders>
              <w:top w:val="nil"/>
              <w:left w:val="nil"/>
              <w:bottom w:val="nil"/>
              <w:right w:val="single" w:sz="4" w:space="0" w:color="auto"/>
            </w:tcBorders>
            <w:shd w:val="clear" w:color="000000" w:fill="FCE4D6"/>
            <w:noWrap/>
            <w:vAlign w:val="center"/>
            <w:hideMark/>
          </w:tcPr>
          <w:p w14:paraId="76CC0B40"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1.3615</w:t>
            </w:r>
          </w:p>
        </w:tc>
        <w:tc>
          <w:tcPr>
            <w:tcW w:w="606" w:type="dxa"/>
            <w:tcBorders>
              <w:top w:val="nil"/>
              <w:left w:val="nil"/>
              <w:bottom w:val="nil"/>
              <w:right w:val="nil"/>
            </w:tcBorders>
            <w:shd w:val="clear" w:color="000000" w:fill="FCE4D6"/>
            <w:noWrap/>
            <w:vAlign w:val="center"/>
            <w:hideMark/>
          </w:tcPr>
          <w:p w14:paraId="0CD88FDD"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w:t>
            </w:r>
          </w:p>
        </w:tc>
        <w:tc>
          <w:tcPr>
            <w:tcW w:w="1140" w:type="dxa"/>
            <w:tcBorders>
              <w:top w:val="nil"/>
              <w:left w:val="nil"/>
              <w:bottom w:val="nil"/>
              <w:right w:val="single" w:sz="4" w:space="0" w:color="auto"/>
            </w:tcBorders>
            <w:shd w:val="clear" w:color="000000" w:fill="FCE4D6"/>
            <w:noWrap/>
            <w:vAlign w:val="center"/>
            <w:hideMark/>
          </w:tcPr>
          <w:p w14:paraId="6B13BD4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0.701</w:t>
            </w:r>
          </w:p>
        </w:tc>
        <w:tc>
          <w:tcPr>
            <w:tcW w:w="1073" w:type="dxa"/>
            <w:tcBorders>
              <w:top w:val="nil"/>
              <w:left w:val="nil"/>
              <w:bottom w:val="nil"/>
              <w:right w:val="single" w:sz="4" w:space="0" w:color="auto"/>
            </w:tcBorders>
            <w:shd w:val="clear" w:color="auto" w:fill="auto"/>
            <w:noWrap/>
            <w:vAlign w:val="center"/>
            <w:hideMark/>
          </w:tcPr>
          <w:p w14:paraId="6F50CB71"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1.727</w:t>
            </w:r>
          </w:p>
        </w:tc>
        <w:tc>
          <w:tcPr>
            <w:tcW w:w="1073" w:type="dxa"/>
            <w:tcBorders>
              <w:top w:val="nil"/>
              <w:left w:val="nil"/>
              <w:bottom w:val="nil"/>
              <w:right w:val="single" w:sz="4" w:space="0" w:color="auto"/>
            </w:tcBorders>
            <w:shd w:val="clear" w:color="auto" w:fill="auto"/>
            <w:noWrap/>
            <w:vAlign w:val="center"/>
            <w:hideMark/>
          </w:tcPr>
          <w:p w14:paraId="0999A411"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0.906</w:t>
            </w:r>
          </w:p>
        </w:tc>
        <w:tc>
          <w:tcPr>
            <w:tcW w:w="1073" w:type="dxa"/>
            <w:tcBorders>
              <w:top w:val="nil"/>
              <w:left w:val="nil"/>
              <w:bottom w:val="nil"/>
              <w:right w:val="single" w:sz="4" w:space="0" w:color="auto"/>
            </w:tcBorders>
            <w:shd w:val="clear" w:color="auto" w:fill="auto"/>
            <w:noWrap/>
            <w:vAlign w:val="center"/>
            <w:hideMark/>
          </w:tcPr>
          <w:p w14:paraId="6637D6F2"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r>
      <w:tr w:rsidR="00987E86" w:rsidRPr="00987E86" w14:paraId="0FB50504" w14:textId="77777777" w:rsidTr="00987E86">
        <w:trPr>
          <w:trHeight w:val="290"/>
        </w:trPr>
        <w:tc>
          <w:tcPr>
            <w:tcW w:w="1617" w:type="dxa"/>
            <w:tcBorders>
              <w:top w:val="nil"/>
              <w:left w:val="single" w:sz="4" w:space="0" w:color="auto"/>
              <w:bottom w:val="nil"/>
              <w:right w:val="single" w:sz="4" w:space="0" w:color="auto"/>
            </w:tcBorders>
            <w:shd w:val="clear" w:color="auto" w:fill="auto"/>
            <w:noWrap/>
            <w:vAlign w:val="center"/>
            <w:hideMark/>
          </w:tcPr>
          <w:p w14:paraId="6F9F392E" w14:textId="77777777" w:rsidR="00987E86" w:rsidRPr="00987E86" w:rsidRDefault="00987E86" w:rsidP="00987E86">
            <w:pPr>
              <w:spacing w:after="0" w:line="240" w:lineRule="auto"/>
              <w:ind w:firstLine="0"/>
              <w:contextualSpacing w:val="0"/>
              <w:jc w:val="left"/>
              <w:rPr>
                <w:rFonts w:eastAsia="Times New Roman" w:cs="Arial"/>
                <w:color w:val="000000"/>
                <w:sz w:val="20"/>
                <w:szCs w:val="20"/>
                <w:lang w:eastAsia="en-GB"/>
              </w:rPr>
            </w:pPr>
            <w:r w:rsidRPr="00987E86">
              <w:rPr>
                <w:rFonts w:eastAsia="Times New Roman" w:cs="Arial"/>
                <w:color w:val="000000"/>
                <w:sz w:val="20"/>
                <w:szCs w:val="20"/>
                <w:lang w:eastAsia="en-GB"/>
              </w:rPr>
              <w:t>Coronavirus</w:t>
            </w:r>
          </w:p>
        </w:tc>
        <w:tc>
          <w:tcPr>
            <w:tcW w:w="740" w:type="dxa"/>
            <w:tcBorders>
              <w:top w:val="nil"/>
              <w:left w:val="nil"/>
              <w:bottom w:val="nil"/>
              <w:right w:val="nil"/>
            </w:tcBorders>
            <w:shd w:val="clear" w:color="auto" w:fill="auto"/>
            <w:vAlign w:val="center"/>
            <w:hideMark/>
          </w:tcPr>
          <w:p w14:paraId="4A619EC9"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w:t>
            </w:r>
          </w:p>
        </w:tc>
        <w:tc>
          <w:tcPr>
            <w:tcW w:w="1073" w:type="dxa"/>
            <w:tcBorders>
              <w:top w:val="nil"/>
              <w:left w:val="nil"/>
              <w:bottom w:val="nil"/>
              <w:right w:val="single" w:sz="4" w:space="0" w:color="auto"/>
            </w:tcBorders>
            <w:shd w:val="clear" w:color="auto" w:fill="auto"/>
            <w:noWrap/>
            <w:vAlign w:val="center"/>
            <w:hideMark/>
          </w:tcPr>
          <w:p w14:paraId="1E154F47"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740" w:type="dxa"/>
            <w:tcBorders>
              <w:top w:val="nil"/>
              <w:left w:val="nil"/>
              <w:bottom w:val="nil"/>
              <w:right w:val="nil"/>
            </w:tcBorders>
            <w:shd w:val="clear" w:color="auto" w:fill="auto"/>
            <w:vAlign w:val="center"/>
            <w:hideMark/>
          </w:tcPr>
          <w:p w14:paraId="328F0A7F"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w:t>
            </w:r>
          </w:p>
        </w:tc>
        <w:tc>
          <w:tcPr>
            <w:tcW w:w="1073" w:type="dxa"/>
            <w:tcBorders>
              <w:top w:val="nil"/>
              <w:left w:val="nil"/>
              <w:bottom w:val="nil"/>
              <w:right w:val="single" w:sz="4" w:space="0" w:color="auto"/>
            </w:tcBorders>
            <w:shd w:val="clear" w:color="auto" w:fill="auto"/>
            <w:noWrap/>
            <w:vAlign w:val="center"/>
            <w:hideMark/>
          </w:tcPr>
          <w:p w14:paraId="34926A5A"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740" w:type="dxa"/>
            <w:tcBorders>
              <w:top w:val="nil"/>
              <w:left w:val="nil"/>
              <w:bottom w:val="nil"/>
              <w:right w:val="nil"/>
            </w:tcBorders>
            <w:shd w:val="clear" w:color="auto" w:fill="auto"/>
            <w:noWrap/>
            <w:vAlign w:val="center"/>
            <w:hideMark/>
          </w:tcPr>
          <w:p w14:paraId="7006CBB8"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 </w:t>
            </w:r>
          </w:p>
        </w:tc>
        <w:tc>
          <w:tcPr>
            <w:tcW w:w="1073" w:type="dxa"/>
            <w:tcBorders>
              <w:top w:val="nil"/>
              <w:left w:val="nil"/>
              <w:bottom w:val="nil"/>
              <w:right w:val="single" w:sz="4" w:space="0" w:color="auto"/>
            </w:tcBorders>
            <w:shd w:val="clear" w:color="auto" w:fill="auto"/>
            <w:noWrap/>
            <w:vAlign w:val="center"/>
            <w:hideMark/>
          </w:tcPr>
          <w:p w14:paraId="4FC2478E"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606" w:type="dxa"/>
            <w:tcBorders>
              <w:top w:val="nil"/>
              <w:left w:val="nil"/>
              <w:bottom w:val="nil"/>
              <w:right w:val="nil"/>
            </w:tcBorders>
            <w:shd w:val="clear" w:color="000000" w:fill="FCE4D6"/>
            <w:noWrap/>
            <w:vAlign w:val="center"/>
            <w:hideMark/>
          </w:tcPr>
          <w:p w14:paraId="6B3FFA36"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w:t>
            </w:r>
          </w:p>
        </w:tc>
        <w:tc>
          <w:tcPr>
            <w:tcW w:w="1140" w:type="dxa"/>
            <w:tcBorders>
              <w:top w:val="nil"/>
              <w:left w:val="nil"/>
              <w:bottom w:val="nil"/>
              <w:right w:val="single" w:sz="4" w:space="0" w:color="auto"/>
            </w:tcBorders>
            <w:shd w:val="clear" w:color="000000" w:fill="FCE4D6"/>
            <w:noWrap/>
            <w:vAlign w:val="center"/>
            <w:hideMark/>
          </w:tcPr>
          <w:p w14:paraId="106ECB7A"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1.3615</w:t>
            </w:r>
          </w:p>
        </w:tc>
        <w:tc>
          <w:tcPr>
            <w:tcW w:w="606" w:type="dxa"/>
            <w:tcBorders>
              <w:top w:val="nil"/>
              <w:left w:val="nil"/>
              <w:bottom w:val="nil"/>
              <w:right w:val="nil"/>
            </w:tcBorders>
            <w:shd w:val="clear" w:color="000000" w:fill="FCE4D6"/>
            <w:noWrap/>
            <w:vAlign w:val="center"/>
            <w:hideMark/>
          </w:tcPr>
          <w:p w14:paraId="0580C37E"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w:t>
            </w:r>
          </w:p>
        </w:tc>
        <w:tc>
          <w:tcPr>
            <w:tcW w:w="1140" w:type="dxa"/>
            <w:tcBorders>
              <w:top w:val="nil"/>
              <w:left w:val="nil"/>
              <w:bottom w:val="nil"/>
              <w:right w:val="single" w:sz="4" w:space="0" w:color="auto"/>
            </w:tcBorders>
            <w:shd w:val="clear" w:color="000000" w:fill="FCE4D6"/>
            <w:noWrap/>
            <w:vAlign w:val="center"/>
            <w:hideMark/>
          </w:tcPr>
          <w:p w14:paraId="37D866C8"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0.701</w:t>
            </w:r>
          </w:p>
        </w:tc>
        <w:tc>
          <w:tcPr>
            <w:tcW w:w="1073" w:type="dxa"/>
            <w:tcBorders>
              <w:top w:val="nil"/>
              <w:left w:val="nil"/>
              <w:bottom w:val="nil"/>
              <w:right w:val="single" w:sz="4" w:space="0" w:color="auto"/>
            </w:tcBorders>
            <w:shd w:val="clear" w:color="auto" w:fill="auto"/>
            <w:noWrap/>
            <w:vAlign w:val="center"/>
            <w:hideMark/>
          </w:tcPr>
          <w:p w14:paraId="03EBCE5E"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1.727</w:t>
            </w:r>
          </w:p>
        </w:tc>
        <w:tc>
          <w:tcPr>
            <w:tcW w:w="1073" w:type="dxa"/>
            <w:tcBorders>
              <w:top w:val="nil"/>
              <w:left w:val="nil"/>
              <w:bottom w:val="nil"/>
              <w:right w:val="single" w:sz="4" w:space="0" w:color="auto"/>
            </w:tcBorders>
            <w:shd w:val="clear" w:color="auto" w:fill="auto"/>
            <w:noWrap/>
            <w:vAlign w:val="center"/>
            <w:hideMark/>
          </w:tcPr>
          <w:p w14:paraId="0858991C"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0.906</w:t>
            </w:r>
          </w:p>
        </w:tc>
        <w:tc>
          <w:tcPr>
            <w:tcW w:w="1073" w:type="dxa"/>
            <w:tcBorders>
              <w:top w:val="nil"/>
              <w:left w:val="nil"/>
              <w:bottom w:val="nil"/>
              <w:right w:val="single" w:sz="4" w:space="0" w:color="auto"/>
            </w:tcBorders>
            <w:shd w:val="clear" w:color="auto" w:fill="auto"/>
            <w:noWrap/>
            <w:vAlign w:val="center"/>
            <w:hideMark/>
          </w:tcPr>
          <w:p w14:paraId="49F67A0C"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r>
      <w:tr w:rsidR="00987E86" w:rsidRPr="00987E86" w14:paraId="0D5DF06A" w14:textId="77777777" w:rsidTr="00987E86">
        <w:trPr>
          <w:trHeight w:val="290"/>
        </w:trPr>
        <w:tc>
          <w:tcPr>
            <w:tcW w:w="1617" w:type="dxa"/>
            <w:tcBorders>
              <w:top w:val="nil"/>
              <w:left w:val="single" w:sz="4" w:space="0" w:color="auto"/>
              <w:bottom w:val="nil"/>
              <w:right w:val="single" w:sz="4" w:space="0" w:color="auto"/>
            </w:tcBorders>
            <w:shd w:val="clear" w:color="auto" w:fill="auto"/>
            <w:noWrap/>
            <w:vAlign w:val="center"/>
            <w:hideMark/>
          </w:tcPr>
          <w:p w14:paraId="2E8E1816" w14:textId="77777777" w:rsidR="00987E86" w:rsidRPr="00987E86" w:rsidRDefault="00987E86" w:rsidP="00987E86">
            <w:pPr>
              <w:spacing w:after="0" w:line="240" w:lineRule="auto"/>
              <w:ind w:firstLine="0"/>
              <w:contextualSpacing w:val="0"/>
              <w:jc w:val="left"/>
              <w:rPr>
                <w:rFonts w:eastAsia="Times New Roman" w:cs="Arial"/>
                <w:color w:val="000000"/>
                <w:sz w:val="20"/>
                <w:szCs w:val="20"/>
                <w:lang w:eastAsia="en-GB"/>
              </w:rPr>
            </w:pPr>
            <w:r w:rsidRPr="00987E86">
              <w:rPr>
                <w:rFonts w:eastAsia="Times New Roman" w:cs="Arial"/>
                <w:color w:val="000000"/>
                <w:sz w:val="20"/>
                <w:szCs w:val="20"/>
                <w:lang w:eastAsia="en-GB"/>
              </w:rPr>
              <w:t>Bocavirus</w:t>
            </w:r>
          </w:p>
        </w:tc>
        <w:tc>
          <w:tcPr>
            <w:tcW w:w="740" w:type="dxa"/>
            <w:tcBorders>
              <w:top w:val="nil"/>
              <w:left w:val="nil"/>
              <w:bottom w:val="nil"/>
              <w:right w:val="nil"/>
            </w:tcBorders>
            <w:shd w:val="clear" w:color="auto" w:fill="auto"/>
            <w:vAlign w:val="center"/>
            <w:hideMark/>
          </w:tcPr>
          <w:p w14:paraId="1C3ECF39"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w:t>
            </w:r>
          </w:p>
        </w:tc>
        <w:tc>
          <w:tcPr>
            <w:tcW w:w="1073" w:type="dxa"/>
            <w:tcBorders>
              <w:top w:val="nil"/>
              <w:left w:val="nil"/>
              <w:bottom w:val="nil"/>
              <w:right w:val="single" w:sz="4" w:space="0" w:color="auto"/>
            </w:tcBorders>
            <w:shd w:val="clear" w:color="auto" w:fill="auto"/>
            <w:noWrap/>
            <w:vAlign w:val="center"/>
            <w:hideMark/>
          </w:tcPr>
          <w:p w14:paraId="30A07F45"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740" w:type="dxa"/>
            <w:tcBorders>
              <w:top w:val="nil"/>
              <w:left w:val="nil"/>
              <w:bottom w:val="nil"/>
              <w:right w:val="nil"/>
            </w:tcBorders>
            <w:shd w:val="clear" w:color="auto" w:fill="auto"/>
            <w:noWrap/>
            <w:vAlign w:val="center"/>
            <w:hideMark/>
          </w:tcPr>
          <w:p w14:paraId="183F5170"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1073" w:type="dxa"/>
            <w:tcBorders>
              <w:top w:val="nil"/>
              <w:left w:val="nil"/>
              <w:bottom w:val="nil"/>
              <w:right w:val="single" w:sz="4" w:space="0" w:color="auto"/>
            </w:tcBorders>
            <w:shd w:val="clear" w:color="auto" w:fill="auto"/>
            <w:noWrap/>
            <w:vAlign w:val="center"/>
            <w:hideMark/>
          </w:tcPr>
          <w:p w14:paraId="5023E138"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740" w:type="dxa"/>
            <w:tcBorders>
              <w:top w:val="nil"/>
              <w:left w:val="nil"/>
              <w:bottom w:val="nil"/>
              <w:right w:val="nil"/>
            </w:tcBorders>
            <w:shd w:val="clear" w:color="auto" w:fill="auto"/>
            <w:vAlign w:val="center"/>
            <w:hideMark/>
          </w:tcPr>
          <w:p w14:paraId="0B840FA4"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 </w:t>
            </w:r>
          </w:p>
        </w:tc>
        <w:tc>
          <w:tcPr>
            <w:tcW w:w="1073" w:type="dxa"/>
            <w:tcBorders>
              <w:top w:val="nil"/>
              <w:left w:val="nil"/>
              <w:bottom w:val="nil"/>
              <w:right w:val="single" w:sz="4" w:space="0" w:color="auto"/>
            </w:tcBorders>
            <w:shd w:val="clear" w:color="auto" w:fill="auto"/>
            <w:noWrap/>
            <w:vAlign w:val="center"/>
            <w:hideMark/>
          </w:tcPr>
          <w:p w14:paraId="6458C870"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c>
          <w:tcPr>
            <w:tcW w:w="606" w:type="dxa"/>
            <w:tcBorders>
              <w:top w:val="nil"/>
              <w:left w:val="nil"/>
              <w:bottom w:val="nil"/>
              <w:right w:val="nil"/>
            </w:tcBorders>
            <w:shd w:val="clear" w:color="000000" w:fill="FCE4D6"/>
            <w:noWrap/>
            <w:vAlign w:val="center"/>
            <w:hideMark/>
          </w:tcPr>
          <w:p w14:paraId="3D0E63ED"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w:t>
            </w:r>
          </w:p>
        </w:tc>
        <w:tc>
          <w:tcPr>
            <w:tcW w:w="1140" w:type="dxa"/>
            <w:tcBorders>
              <w:top w:val="nil"/>
              <w:left w:val="nil"/>
              <w:bottom w:val="nil"/>
              <w:right w:val="single" w:sz="4" w:space="0" w:color="auto"/>
            </w:tcBorders>
            <w:shd w:val="clear" w:color="000000" w:fill="FCE4D6"/>
            <w:noWrap/>
            <w:vAlign w:val="center"/>
            <w:hideMark/>
          </w:tcPr>
          <w:p w14:paraId="6C1C62DF"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1.3615</w:t>
            </w:r>
          </w:p>
        </w:tc>
        <w:tc>
          <w:tcPr>
            <w:tcW w:w="606" w:type="dxa"/>
            <w:tcBorders>
              <w:top w:val="nil"/>
              <w:left w:val="nil"/>
              <w:bottom w:val="nil"/>
              <w:right w:val="nil"/>
            </w:tcBorders>
            <w:shd w:val="clear" w:color="000000" w:fill="FCE4D6"/>
            <w:noWrap/>
            <w:vAlign w:val="center"/>
            <w:hideMark/>
          </w:tcPr>
          <w:p w14:paraId="1809F4CF"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w:t>
            </w:r>
          </w:p>
        </w:tc>
        <w:tc>
          <w:tcPr>
            <w:tcW w:w="1140" w:type="dxa"/>
            <w:tcBorders>
              <w:top w:val="nil"/>
              <w:left w:val="nil"/>
              <w:bottom w:val="nil"/>
              <w:right w:val="single" w:sz="4" w:space="0" w:color="auto"/>
            </w:tcBorders>
            <w:shd w:val="clear" w:color="000000" w:fill="FCE4D6"/>
            <w:noWrap/>
            <w:vAlign w:val="center"/>
            <w:hideMark/>
          </w:tcPr>
          <w:p w14:paraId="51015CF9"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0.701</w:t>
            </w:r>
          </w:p>
        </w:tc>
        <w:tc>
          <w:tcPr>
            <w:tcW w:w="1073" w:type="dxa"/>
            <w:tcBorders>
              <w:top w:val="nil"/>
              <w:left w:val="nil"/>
              <w:bottom w:val="nil"/>
              <w:right w:val="single" w:sz="4" w:space="0" w:color="auto"/>
            </w:tcBorders>
            <w:shd w:val="clear" w:color="auto" w:fill="auto"/>
            <w:noWrap/>
            <w:vAlign w:val="center"/>
            <w:hideMark/>
          </w:tcPr>
          <w:p w14:paraId="3C58AA01"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1.727</w:t>
            </w:r>
          </w:p>
        </w:tc>
        <w:tc>
          <w:tcPr>
            <w:tcW w:w="1073" w:type="dxa"/>
            <w:tcBorders>
              <w:top w:val="nil"/>
              <w:left w:val="nil"/>
              <w:bottom w:val="nil"/>
              <w:right w:val="single" w:sz="4" w:space="0" w:color="auto"/>
            </w:tcBorders>
            <w:shd w:val="clear" w:color="auto" w:fill="auto"/>
            <w:noWrap/>
            <w:vAlign w:val="center"/>
            <w:hideMark/>
          </w:tcPr>
          <w:p w14:paraId="307EB145"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0.906</w:t>
            </w:r>
          </w:p>
        </w:tc>
        <w:tc>
          <w:tcPr>
            <w:tcW w:w="1073" w:type="dxa"/>
            <w:tcBorders>
              <w:top w:val="nil"/>
              <w:left w:val="nil"/>
              <w:bottom w:val="nil"/>
              <w:right w:val="single" w:sz="4" w:space="0" w:color="auto"/>
            </w:tcBorders>
            <w:shd w:val="clear" w:color="auto" w:fill="auto"/>
            <w:noWrap/>
            <w:vAlign w:val="center"/>
            <w:hideMark/>
          </w:tcPr>
          <w:p w14:paraId="076373CB"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w:t>
            </w:r>
          </w:p>
        </w:tc>
      </w:tr>
      <w:tr w:rsidR="00987E86" w:rsidRPr="00987E86" w14:paraId="69FA7103" w14:textId="77777777" w:rsidTr="00987E86">
        <w:trPr>
          <w:trHeight w:val="290"/>
        </w:trPr>
        <w:tc>
          <w:tcPr>
            <w:tcW w:w="1617" w:type="dxa"/>
            <w:tcBorders>
              <w:top w:val="nil"/>
              <w:left w:val="single" w:sz="4" w:space="0" w:color="auto"/>
              <w:bottom w:val="nil"/>
              <w:right w:val="single" w:sz="4" w:space="0" w:color="auto"/>
            </w:tcBorders>
            <w:shd w:val="clear" w:color="auto" w:fill="auto"/>
            <w:noWrap/>
            <w:vAlign w:val="center"/>
            <w:hideMark/>
          </w:tcPr>
          <w:p w14:paraId="67DCD8CA" w14:textId="77777777" w:rsidR="00987E86" w:rsidRPr="00987E86" w:rsidRDefault="00987E86" w:rsidP="00987E86">
            <w:pPr>
              <w:spacing w:after="0" w:line="240" w:lineRule="auto"/>
              <w:ind w:firstLine="0"/>
              <w:contextualSpacing w:val="0"/>
              <w:jc w:val="left"/>
              <w:rPr>
                <w:rFonts w:eastAsia="Times New Roman" w:cs="Arial"/>
                <w:color w:val="000000"/>
                <w:sz w:val="20"/>
                <w:szCs w:val="20"/>
                <w:lang w:eastAsia="en-GB"/>
              </w:rPr>
            </w:pPr>
            <w:r w:rsidRPr="00987E86">
              <w:rPr>
                <w:rFonts w:eastAsia="Times New Roman" w:cs="Arial"/>
                <w:color w:val="000000"/>
                <w:sz w:val="20"/>
                <w:szCs w:val="20"/>
                <w:lang w:eastAsia="en-GB"/>
              </w:rPr>
              <w:t>Other pathogens</w:t>
            </w:r>
          </w:p>
        </w:tc>
        <w:tc>
          <w:tcPr>
            <w:tcW w:w="740" w:type="dxa"/>
            <w:tcBorders>
              <w:top w:val="nil"/>
              <w:left w:val="nil"/>
              <w:bottom w:val="nil"/>
              <w:right w:val="nil"/>
            </w:tcBorders>
            <w:shd w:val="clear" w:color="auto" w:fill="auto"/>
            <w:vAlign w:val="center"/>
            <w:hideMark/>
          </w:tcPr>
          <w:p w14:paraId="1E75A5C3"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0.098</w:t>
            </w:r>
          </w:p>
        </w:tc>
        <w:tc>
          <w:tcPr>
            <w:tcW w:w="1073" w:type="dxa"/>
            <w:tcBorders>
              <w:top w:val="nil"/>
              <w:left w:val="nil"/>
              <w:bottom w:val="nil"/>
              <w:right w:val="single" w:sz="4" w:space="0" w:color="auto"/>
            </w:tcBorders>
            <w:shd w:val="clear" w:color="auto" w:fill="auto"/>
            <w:noWrap/>
            <w:vAlign w:val="center"/>
            <w:hideMark/>
          </w:tcPr>
          <w:p w14:paraId="2264DE4B"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2.720</w:t>
            </w:r>
          </w:p>
        </w:tc>
        <w:tc>
          <w:tcPr>
            <w:tcW w:w="740" w:type="dxa"/>
            <w:tcBorders>
              <w:top w:val="nil"/>
              <w:left w:val="nil"/>
              <w:bottom w:val="nil"/>
              <w:right w:val="nil"/>
            </w:tcBorders>
            <w:shd w:val="clear" w:color="auto" w:fill="auto"/>
            <w:noWrap/>
            <w:vAlign w:val="center"/>
            <w:hideMark/>
          </w:tcPr>
          <w:p w14:paraId="12B09C6B"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0.274</w:t>
            </w:r>
          </w:p>
        </w:tc>
        <w:tc>
          <w:tcPr>
            <w:tcW w:w="1073" w:type="dxa"/>
            <w:tcBorders>
              <w:top w:val="nil"/>
              <w:left w:val="nil"/>
              <w:bottom w:val="nil"/>
              <w:right w:val="single" w:sz="4" w:space="0" w:color="auto"/>
            </w:tcBorders>
            <w:shd w:val="clear" w:color="auto" w:fill="auto"/>
            <w:noWrap/>
            <w:vAlign w:val="center"/>
            <w:hideMark/>
          </w:tcPr>
          <w:p w14:paraId="1C6D7F0D"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4.603</w:t>
            </w:r>
          </w:p>
        </w:tc>
        <w:tc>
          <w:tcPr>
            <w:tcW w:w="740" w:type="dxa"/>
            <w:tcBorders>
              <w:top w:val="nil"/>
              <w:left w:val="nil"/>
              <w:bottom w:val="nil"/>
              <w:right w:val="nil"/>
            </w:tcBorders>
            <w:shd w:val="clear" w:color="auto" w:fill="auto"/>
            <w:noWrap/>
            <w:vAlign w:val="center"/>
            <w:hideMark/>
          </w:tcPr>
          <w:p w14:paraId="2FAFE8D2"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0.282</w:t>
            </w:r>
          </w:p>
        </w:tc>
        <w:tc>
          <w:tcPr>
            <w:tcW w:w="1073" w:type="dxa"/>
            <w:tcBorders>
              <w:top w:val="nil"/>
              <w:left w:val="nil"/>
              <w:bottom w:val="nil"/>
              <w:right w:val="single" w:sz="4" w:space="0" w:color="auto"/>
            </w:tcBorders>
            <w:shd w:val="clear" w:color="auto" w:fill="auto"/>
            <w:noWrap/>
            <w:vAlign w:val="center"/>
            <w:hideMark/>
          </w:tcPr>
          <w:p w14:paraId="0A8384A1"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1.342</w:t>
            </w:r>
          </w:p>
        </w:tc>
        <w:tc>
          <w:tcPr>
            <w:tcW w:w="606" w:type="dxa"/>
            <w:tcBorders>
              <w:top w:val="nil"/>
              <w:left w:val="nil"/>
              <w:bottom w:val="nil"/>
              <w:right w:val="nil"/>
            </w:tcBorders>
            <w:shd w:val="clear" w:color="000000" w:fill="FCE4D6"/>
            <w:noWrap/>
            <w:vAlign w:val="center"/>
            <w:hideMark/>
          </w:tcPr>
          <w:p w14:paraId="7283BAC6"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w:t>
            </w:r>
          </w:p>
        </w:tc>
        <w:tc>
          <w:tcPr>
            <w:tcW w:w="1140" w:type="dxa"/>
            <w:tcBorders>
              <w:top w:val="nil"/>
              <w:left w:val="nil"/>
              <w:bottom w:val="nil"/>
              <w:right w:val="single" w:sz="4" w:space="0" w:color="auto"/>
            </w:tcBorders>
            <w:shd w:val="clear" w:color="000000" w:fill="FCE4D6"/>
            <w:noWrap/>
            <w:vAlign w:val="center"/>
            <w:hideMark/>
          </w:tcPr>
          <w:p w14:paraId="42A1372A"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1.3615</w:t>
            </w:r>
          </w:p>
        </w:tc>
        <w:tc>
          <w:tcPr>
            <w:tcW w:w="606" w:type="dxa"/>
            <w:tcBorders>
              <w:top w:val="nil"/>
              <w:left w:val="nil"/>
              <w:bottom w:val="nil"/>
              <w:right w:val="nil"/>
            </w:tcBorders>
            <w:shd w:val="clear" w:color="000000" w:fill="FCE4D6"/>
            <w:noWrap/>
            <w:vAlign w:val="center"/>
            <w:hideMark/>
          </w:tcPr>
          <w:p w14:paraId="3DCE1C33"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0.05</w:t>
            </w:r>
          </w:p>
        </w:tc>
        <w:tc>
          <w:tcPr>
            <w:tcW w:w="1140" w:type="dxa"/>
            <w:tcBorders>
              <w:top w:val="nil"/>
              <w:left w:val="nil"/>
              <w:bottom w:val="nil"/>
              <w:right w:val="single" w:sz="4" w:space="0" w:color="auto"/>
            </w:tcBorders>
            <w:shd w:val="clear" w:color="000000" w:fill="FCE4D6"/>
            <w:noWrap/>
            <w:vAlign w:val="center"/>
            <w:hideMark/>
          </w:tcPr>
          <w:p w14:paraId="271CB77B"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0.701</w:t>
            </w:r>
          </w:p>
        </w:tc>
        <w:tc>
          <w:tcPr>
            <w:tcW w:w="1073" w:type="dxa"/>
            <w:tcBorders>
              <w:top w:val="nil"/>
              <w:left w:val="nil"/>
              <w:bottom w:val="nil"/>
              <w:right w:val="single" w:sz="4" w:space="0" w:color="auto"/>
            </w:tcBorders>
            <w:shd w:val="clear" w:color="auto" w:fill="auto"/>
            <w:noWrap/>
            <w:vAlign w:val="center"/>
            <w:hideMark/>
          </w:tcPr>
          <w:p w14:paraId="13B7B331"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4.082</w:t>
            </w:r>
          </w:p>
        </w:tc>
        <w:tc>
          <w:tcPr>
            <w:tcW w:w="1073" w:type="dxa"/>
            <w:tcBorders>
              <w:top w:val="nil"/>
              <w:left w:val="nil"/>
              <w:bottom w:val="nil"/>
              <w:right w:val="single" w:sz="4" w:space="0" w:color="auto"/>
            </w:tcBorders>
            <w:shd w:val="clear" w:color="auto" w:fill="auto"/>
            <w:noWrap/>
            <w:vAlign w:val="center"/>
            <w:hideMark/>
          </w:tcPr>
          <w:p w14:paraId="0962198C"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5.304</w:t>
            </w:r>
          </w:p>
        </w:tc>
        <w:tc>
          <w:tcPr>
            <w:tcW w:w="1073" w:type="dxa"/>
            <w:tcBorders>
              <w:top w:val="nil"/>
              <w:left w:val="nil"/>
              <w:bottom w:val="nil"/>
              <w:right w:val="single" w:sz="4" w:space="0" w:color="auto"/>
            </w:tcBorders>
            <w:shd w:val="clear" w:color="auto" w:fill="auto"/>
            <w:noWrap/>
            <w:vAlign w:val="center"/>
            <w:hideMark/>
          </w:tcPr>
          <w:p w14:paraId="137AD2EC"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1.342</w:t>
            </w:r>
          </w:p>
        </w:tc>
      </w:tr>
      <w:tr w:rsidR="00987E86" w:rsidRPr="00987E86" w14:paraId="10481144" w14:textId="77777777" w:rsidTr="00987E86">
        <w:trPr>
          <w:trHeight w:val="290"/>
        </w:trPr>
        <w:tc>
          <w:tcPr>
            <w:tcW w:w="1617" w:type="dxa"/>
            <w:tcBorders>
              <w:top w:val="single" w:sz="4" w:space="0" w:color="auto"/>
              <w:left w:val="single" w:sz="4" w:space="0" w:color="auto"/>
              <w:bottom w:val="single" w:sz="4" w:space="0" w:color="auto"/>
              <w:right w:val="nil"/>
            </w:tcBorders>
            <w:shd w:val="clear" w:color="auto" w:fill="auto"/>
            <w:noWrap/>
            <w:vAlign w:val="center"/>
            <w:hideMark/>
          </w:tcPr>
          <w:p w14:paraId="47CE72A8" w14:textId="77777777" w:rsidR="00987E86" w:rsidRPr="00987E86" w:rsidRDefault="00987E86" w:rsidP="00987E86">
            <w:pPr>
              <w:spacing w:after="0" w:line="240" w:lineRule="auto"/>
              <w:ind w:firstLine="0"/>
              <w:contextualSpacing w:val="0"/>
              <w:jc w:val="left"/>
              <w:rPr>
                <w:rFonts w:eastAsia="Times New Roman" w:cs="Arial"/>
                <w:color w:val="000000"/>
                <w:sz w:val="20"/>
                <w:szCs w:val="20"/>
                <w:lang w:eastAsia="en-GB"/>
              </w:rPr>
            </w:pPr>
            <w:r w:rsidRPr="00987E86">
              <w:rPr>
                <w:rFonts w:eastAsia="Times New Roman" w:cs="Arial"/>
                <w:color w:val="000000"/>
                <w:sz w:val="20"/>
                <w:szCs w:val="20"/>
                <w:lang w:eastAsia="en-GB"/>
              </w:rPr>
              <w:t>Total</w:t>
            </w:r>
          </w:p>
        </w:tc>
        <w:tc>
          <w:tcPr>
            <w:tcW w:w="740" w:type="dxa"/>
            <w:tcBorders>
              <w:top w:val="single" w:sz="4" w:space="0" w:color="auto"/>
              <w:left w:val="single" w:sz="4" w:space="0" w:color="auto"/>
              <w:bottom w:val="single" w:sz="4" w:space="0" w:color="auto"/>
              <w:right w:val="nil"/>
            </w:tcBorders>
            <w:shd w:val="clear" w:color="auto" w:fill="auto"/>
            <w:vAlign w:val="center"/>
            <w:hideMark/>
          </w:tcPr>
          <w:p w14:paraId="56116674"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 </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74945EA8"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27.76</w:t>
            </w:r>
          </w:p>
        </w:tc>
        <w:tc>
          <w:tcPr>
            <w:tcW w:w="740" w:type="dxa"/>
            <w:tcBorders>
              <w:top w:val="single" w:sz="4" w:space="0" w:color="auto"/>
              <w:left w:val="nil"/>
              <w:bottom w:val="single" w:sz="4" w:space="0" w:color="auto"/>
              <w:right w:val="nil"/>
            </w:tcBorders>
            <w:shd w:val="clear" w:color="auto" w:fill="auto"/>
            <w:noWrap/>
            <w:vAlign w:val="center"/>
            <w:hideMark/>
          </w:tcPr>
          <w:p w14:paraId="7B005029"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 </w:t>
            </w:r>
          </w:p>
        </w:tc>
        <w:tc>
          <w:tcPr>
            <w:tcW w:w="1073" w:type="dxa"/>
            <w:tcBorders>
              <w:top w:val="single" w:sz="4" w:space="0" w:color="auto"/>
              <w:left w:val="nil"/>
              <w:bottom w:val="single" w:sz="4" w:space="0" w:color="auto"/>
              <w:right w:val="nil"/>
            </w:tcBorders>
            <w:shd w:val="clear" w:color="auto" w:fill="auto"/>
            <w:vAlign w:val="center"/>
            <w:hideMark/>
          </w:tcPr>
          <w:p w14:paraId="56101BEB"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16.8</w:t>
            </w:r>
          </w:p>
        </w:tc>
        <w:tc>
          <w:tcPr>
            <w:tcW w:w="740" w:type="dxa"/>
            <w:tcBorders>
              <w:top w:val="single" w:sz="4" w:space="0" w:color="auto"/>
              <w:left w:val="single" w:sz="4" w:space="0" w:color="auto"/>
              <w:bottom w:val="single" w:sz="4" w:space="0" w:color="auto"/>
              <w:right w:val="nil"/>
            </w:tcBorders>
            <w:shd w:val="clear" w:color="auto" w:fill="auto"/>
            <w:noWrap/>
            <w:vAlign w:val="center"/>
            <w:hideMark/>
          </w:tcPr>
          <w:p w14:paraId="430BFD48"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 </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3E00971C"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4.76</w:t>
            </w:r>
          </w:p>
        </w:tc>
        <w:tc>
          <w:tcPr>
            <w:tcW w:w="606" w:type="dxa"/>
            <w:tcBorders>
              <w:top w:val="single" w:sz="4" w:space="0" w:color="auto"/>
              <w:left w:val="nil"/>
              <w:bottom w:val="single" w:sz="4" w:space="0" w:color="auto"/>
              <w:right w:val="nil"/>
            </w:tcBorders>
            <w:shd w:val="clear" w:color="000000" w:fill="FCE4D6"/>
            <w:noWrap/>
            <w:vAlign w:val="center"/>
            <w:hideMark/>
          </w:tcPr>
          <w:p w14:paraId="37B1F2DA"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 </w:t>
            </w:r>
          </w:p>
        </w:tc>
        <w:tc>
          <w:tcPr>
            <w:tcW w:w="1140" w:type="dxa"/>
            <w:tcBorders>
              <w:top w:val="single" w:sz="4" w:space="0" w:color="auto"/>
              <w:left w:val="nil"/>
              <w:bottom w:val="single" w:sz="4" w:space="0" w:color="auto"/>
              <w:right w:val="nil"/>
            </w:tcBorders>
            <w:shd w:val="clear" w:color="000000" w:fill="FCE4D6"/>
            <w:vAlign w:val="center"/>
            <w:hideMark/>
          </w:tcPr>
          <w:p w14:paraId="40BE5B54"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27.23</w:t>
            </w:r>
          </w:p>
        </w:tc>
        <w:tc>
          <w:tcPr>
            <w:tcW w:w="606" w:type="dxa"/>
            <w:tcBorders>
              <w:top w:val="single" w:sz="4" w:space="0" w:color="auto"/>
              <w:left w:val="single" w:sz="4" w:space="0" w:color="auto"/>
              <w:bottom w:val="single" w:sz="4" w:space="0" w:color="auto"/>
              <w:right w:val="nil"/>
            </w:tcBorders>
            <w:shd w:val="clear" w:color="000000" w:fill="FCE4D6"/>
            <w:noWrap/>
            <w:vAlign w:val="center"/>
            <w:hideMark/>
          </w:tcPr>
          <w:p w14:paraId="61C27FF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 </w:t>
            </w:r>
          </w:p>
        </w:tc>
        <w:tc>
          <w:tcPr>
            <w:tcW w:w="1140" w:type="dxa"/>
            <w:tcBorders>
              <w:top w:val="single" w:sz="4" w:space="0" w:color="auto"/>
              <w:left w:val="nil"/>
              <w:bottom w:val="single" w:sz="4" w:space="0" w:color="auto"/>
              <w:right w:val="single" w:sz="4" w:space="0" w:color="auto"/>
            </w:tcBorders>
            <w:shd w:val="clear" w:color="000000" w:fill="FCE4D6"/>
            <w:vAlign w:val="center"/>
            <w:hideMark/>
          </w:tcPr>
          <w:p w14:paraId="7DB396B1" w14:textId="77777777" w:rsidR="00987E86" w:rsidRPr="00987E86" w:rsidRDefault="00987E86" w:rsidP="00987E86">
            <w:pPr>
              <w:spacing w:after="0" w:line="240" w:lineRule="auto"/>
              <w:ind w:firstLine="0"/>
              <w:contextualSpacing w:val="0"/>
              <w:jc w:val="center"/>
              <w:rPr>
                <w:rFonts w:eastAsia="Times New Roman" w:cs="Arial"/>
                <w:sz w:val="20"/>
                <w:szCs w:val="20"/>
                <w:lang w:eastAsia="en-GB"/>
              </w:rPr>
            </w:pPr>
            <w:r w:rsidRPr="00987E86">
              <w:rPr>
                <w:rFonts w:eastAsia="Times New Roman" w:cs="Arial"/>
                <w:sz w:val="20"/>
                <w:szCs w:val="20"/>
                <w:lang w:eastAsia="en-GB"/>
              </w:rPr>
              <w:t>14.02</w:t>
            </w:r>
          </w:p>
        </w:tc>
        <w:tc>
          <w:tcPr>
            <w:tcW w:w="1073" w:type="dxa"/>
            <w:tcBorders>
              <w:top w:val="single" w:sz="4" w:space="0" w:color="auto"/>
              <w:left w:val="nil"/>
              <w:bottom w:val="single" w:sz="4" w:space="0" w:color="auto"/>
              <w:right w:val="nil"/>
            </w:tcBorders>
            <w:shd w:val="clear" w:color="auto" w:fill="auto"/>
            <w:noWrap/>
            <w:vAlign w:val="center"/>
            <w:hideMark/>
          </w:tcPr>
          <w:p w14:paraId="6DA90972"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52.619</w:t>
            </w:r>
          </w:p>
        </w:tc>
        <w:tc>
          <w:tcPr>
            <w:tcW w:w="1073" w:type="dxa"/>
            <w:tcBorders>
              <w:top w:val="single" w:sz="4" w:space="0" w:color="auto"/>
              <w:left w:val="nil"/>
              <w:bottom w:val="single" w:sz="4" w:space="0" w:color="auto"/>
              <w:right w:val="nil"/>
            </w:tcBorders>
            <w:shd w:val="clear" w:color="auto" w:fill="auto"/>
            <w:noWrap/>
            <w:vAlign w:val="center"/>
            <w:hideMark/>
          </w:tcPr>
          <w:p w14:paraId="08DC521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30.362</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14:paraId="07457FE4" w14:textId="77777777" w:rsidR="00987E86" w:rsidRPr="00987E86" w:rsidRDefault="00987E86" w:rsidP="00987E86">
            <w:pPr>
              <w:spacing w:after="0" w:line="240" w:lineRule="auto"/>
              <w:ind w:firstLine="0"/>
              <w:contextualSpacing w:val="0"/>
              <w:jc w:val="center"/>
              <w:rPr>
                <w:rFonts w:eastAsia="Times New Roman" w:cs="Arial"/>
                <w:color w:val="000000"/>
                <w:sz w:val="20"/>
                <w:szCs w:val="20"/>
                <w:lang w:eastAsia="en-GB"/>
              </w:rPr>
            </w:pPr>
            <w:r w:rsidRPr="00987E86">
              <w:rPr>
                <w:rFonts w:eastAsia="Times New Roman" w:cs="Arial"/>
                <w:color w:val="000000"/>
                <w:sz w:val="20"/>
                <w:szCs w:val="20"/>
                <w:lang w:eastAsia="en-GB"/>
              </w:rPr>
              <w:t>4.355</w:t>
            </w:r>
          </w:p>
        </w:tc>
      </w:tr>
    </w:tbl>
    <w:p w14:paraId="4FD6AAB6" w14:textId="75FB5B79" w:rsidR="004D0EC8" w:rsidRPr="007A3E4A" w:rsidRDefault="004D0EC8" w:rsidP="004D0EC8">
      <w:pPr>
        <w:pStyle w:val="NoSpacing"/>
        <w:rPr>
          <w:sz w:val="19"/>
          <w:szCs w:val="19"/>
        </w:rPr>
      </w:pPr>
      <w:r w:rsidRPr="007A3E4A">
        <w:rPr>
          <w:sz w:val="19"/>
          <w:szCs w:val="19"/>
        </w:rPr>
        <w:t>The pathogen attributable fractions for the incidence of bronchiolitis are dummy values. These will be updated once data from PERCH is provided for further estimation of these AFs. The majority of bronchiolitis cases are caused by RSV therefore, a high AF of 60%.</w:t>
      </w:r>
    </w:p>
    <w:p w14:paraId="795FF030" w14:textId="511D378F" w:rsidR="004D0EC8" w:rsidRPr="007A3E4A" w:rsidRDefault="004D0EC8" w:rsidP="004D0EC8">
      <w:pPr>
        <w:pStyle w:val="NoSpacing"/>
        <w:rPr>
          <w:sz w:val="19"/>
          <w:szCs w:val="19"/>
        </w:rPr>
      </w:pPr>
      <w:r w:rsidRPr="007A3E4A">
        <w:rPr>
          <w:sz w:val="19"/>
          <w:szCs w:val="19"/>
        </w:rPr>
        <w:t xml:space="preserve">Total ALRI incidence by pathogen in each age group is expressed as cases per 100 children per year – in the parameters Table </w:t>
      </w:r>
      <w:r w:rsidR="00987E86">
        <w:rPr>
          <w:sz w:val="19"/>
          <w:szCs w:val="19"/>
        </w:rPr>
        <w:t>7</w:t>
      </w:r>
      <w:r w:rsidRPr="007A3E4A">
        <w:rPr>
          <w:sz w:val="19"/>
          <w:szCs w:val="19"/>
        </w:rPr>
        <w:t>, these are expressed per 1 child per year</w:t>
      </w:r>
    </w:p>
    <w:p w14:paraId="708E6D1A" w14:textId="77777777" w:rsidR="004D0EC8" w:rsidRDefault="004D0EC8" w:rsidP="004D0EC8">
      <w:pPr>
        <w:pStyle w:val="NoSpacing"/>
        <w:rPr>
          <w:sz w:val="19"/>
          <w:szCs w:val="19"/>
        </w:rPr>
      </w:pPr>
    </w:p>
    <w:p w14:paraId="22FC6E77" w14:textId="77777777" w:rsidR="004D0EC8" w:rsidRDefault="004D0EC8" w:rsidP="004D0EC8">
      <w:pPr>
        <w:spacing w:after="160" w:line="259" w:lineRule="auto"/>
        <w:ind w:firstLine="0"/>
        <w:contextualSpacing w:val="0"/>
        <w:jc w:val="left"/>
        <w:rPr>
          <w:sz w:val="19"/>
          <w:szCs w:val="19"/>
        </w:rPr>
      </w:pPr>
      <w:r>
        <w:rPr>
          <w:sz w:val="19"/>
          <w:szCs w:val="19"/>
        </w:rPr>
        <w:br w:type="page"/>
      </w:r>
    </w:p>
    <w:p w14:paraId="37A177A7" w14:textId="77777777" w:rsidR="007A3E4A" w:rsidRDefault="007A3E4A" w:rsidP="00E31097">
      <w:pPr>
        <w:sectPr w:rsidR="007A3E4A" w:rsidSect="004D0EC8">
          <w:pgSz w:w="16838" w:h="11906" w:orient="landscape"/>
          <w:pgMar w:top="720" w:right="720" w:bottom="720" w:left="720" w:header="709" w:footer="709" w:gutter="0"/>
          <w:cols w:space="708"/>
          <w:docGrid w:linePitch="360"/>
        </w:sectPr>
      </w:pPr>
    </w:p>
    <w:p w14:paraId="705BE13F" w14:textId="77777777" w:rsidR="000979B2" w:rsidRDefault="000979B2" w:rsidP="000979B2">
      <w:pPr>
        <w:pStyle w:val="Heading4"/>
        <w:rPr>
          <w:shd w:val="clear" w:color="auto" w:fill="FFFFFF"/>
        </w:rPr>
      </w:pPr>
      <w:bookmarkStart w:id="9" w:name="_Toc49847087"/>
      <w:bookmarkStart w:id="10" w:name="_Toc64288810"/>
      <w:r>
        <w:rPr>
          <w:shd w:val="clear" w:color="auto" w:fill="FFFFFF"/>
        </w:rPr>
        <w:lastRenderedPageBreak/>
        <w:t>Prognosis, signs and symptoms of ALRI</w:t>
      </w:r>
    </w:p>
    <w:p w14:paraId="0FDD2A32" w14:textId="77777777" w:rsidR="000979B2" w:rsidRPr="00385BF0" w:rsidRDefault="000979B2" w:rsidP="000979B2">
      <w:pPr>
        <w:spacing w:after="0"/>
        <w:rPr>
          <w:shd w:val="clear" w:color="auto" w:fill="FFFFFF"/>
        </w:rPr>
      </w:pPr>
      <w:r>
        <w:rPr>
          <w:shd w:val="clear" w:color="auto" w:fill="FFFFFF"/>
        </w:rPr>
        <w:t xml:space="preserve">The most common lower respiratory infection in infants is viral bronchiolitis, where smaller airway (bronchiole) diameter predisposes </w:t>
      </w:r>
      <w:r>
        <w:t>to airway obstruction – viral infection causing inflammation, mucous secretions and sloughing of epithelial cells into the bronchiole lumen results in varying degrees of airway obstruction</w:t>
      </w:r>
      <w:r>
        <w:fldChar w:fldCharType="begin" w:fldLock="1"/>
      </w:r>
      <w:r>
        <w:instrText>ADDIN CSL_CITATION {"citationItems":[{"id":"ITEM-1","itemData":{"DOI":"10.1056/NEJMra1413456","ISSN":"0028-4793","abstract":"This review on bronchiolitis in young children considers the viruses involved, the current understanding of pathogenesis, host genetic factors and the environment, and the role of season, race, and...","author":[{"dropping-particle":"","family":"Meissner","given":"H. Cody","non-dropping-particle":"","parse-names":false,"suffix":""}],"container-title":"New England Journal of Medicine","editor":[{"dropping-particle":"","family":"Ingelfinger","given":"Julie R.","non-dropping-particle":"","parse-names":false,"suffix":""}],"id":"ITEM-1","issue":"1","issued":{"date-parts":[["2016","1","7"]]},"page":"62-72","publisher":"Massachussetts Medical Society","title":"Viral Bronchiolitis in Children","type":"article-journal","volume":"374"},"uris":["http://www.mendeley.com/documents/?uuid=804536b7-e355-320a-8457-e03d853f90fb"]}],"mendeley":{"formattedCitation":"&lt;sup&gt;19&lt;/sup&gt;","plainTextFormattedCitation":"19","previouslyFormattedCitation":"&lt;sup&gt;18&lt;/sup&gt;"},"properties":{"noteIndex":0},"schema":"https://github.com/citation-style-language/schema/raw/master/csl-citation.json"}</w:instrText>
      </w:r>
      <w:r>
        <w:fldChar w:fldCharType="separate"/>
      </w:r>
      <w:r w:rsidRPr="008C02B1">
        <w:rPr>
          <w:noProof/>
          <w:vertAlign w:val="superscript"/>
        </w:rPr>
        <w:t>19</w:t>
      </w:r>
      <w:r>
        <w:fldChar w:fldCharType="end"/>
      </w:r>
      <w:r>
        <w:t xml:space="preserve">. The most common viral agent is the </w:t>
      </w:r>
      <w:r w:rsidRPr="00872E03">
        <w:t>Re</w:t>
      </w:r>
      <w:r>
        <w:t xml:space="preserve">spiratory Syncytial Virus (RSV). </w:t>
      </w:r>
      <w:r>
        <w:rPr>
          <w:shd w:val="clear" w:color="auto" w:fill="FFFFFF"/>
        </w:rPr>
        <w:t>The epidemiology of RSV at sites with warm temperatures and high humidity, such as Malawi, tends to be continuous throughout the year, peaking in summer and autumn (rainy season)</w:t>
      </w:r>
      <w:r>
        <w:rPr>
          <w:shd w:val="clear" w:color="auto" w:fill="FFFFFF"/>
        </w:rPr>
        <w:fldChar w:fldCharType="begin" w:fldLock="1"/>
      </w:r>
      <w:r>
        <w:rPr>
          <w:shd w:val="clear" w:color="auto" w:fill="FFFFFF"/>
        </w:rPr>
        <w:instrText>ADDIN CSL_CITATION {"citationItems":[{"id":"ITEM-1","itemData":{"DOI":"10.1542/pir.35-12-519","ISSN":"15263347","abstract":"• On the basis of strong research evidence, respiratory syncytial virus (RSV) is the most frequent cause of bronchiolitis and pneumonia in infants and young children and a source of significant morbidity, mortality, and financial burden worldwide. (2) • On the basis of some research evidence and consensus, transmission occurs through inoculation of the nasopharyngeal or conjunctival mucosa with respiratory secretions from infected individuals. Viral shedding persists for approximately 1 week but can be significantly prolonged in immunocompromised individuals. (3) • On the basis of expert opinion, infants with RSV infection typically present with upper respiratory tract symptoms that frequently progress to involve the lower respiratory tract with cough, wheeze, and increased work of breathing. Chest radiography typically reveals hyperinflation, patchy infiltrates, and atelectasis. Apnea can be the presenting manifestation, especially in young infants. The diagnosis of RSV bronchiolitis should be based on history and physical examination and does not require radiographic or laboratory studies. • On the basis of expert opinion, supportive care is the mainstay of therapy for RSV disease and is directed at ensuring adequate oxygenation, improving respiratory toilet, and meeting fluid and nutrition requirements. Chest physiotherapy should not be used. Severe respiratory failure requires mechanical ventilatory support and occasionally high-frequency oscillatory ventilation or extracorporeal membrane oxygenation. • Adrenergic α- and β-agonists do not provide consistent benefit in the treatment of RSV infection. Similarly, neither systemic nor inhaled corticosteroids have been found to provide clear advantages in this setting. Therefore, these pharmacologic agents should not be used in infants and children diagnosed as having RSV bronchiolitis. Hypertonic saline may be used in hospitalized patients but not in the emergency setting. • On the basis of some research evidence and consensus, the antiviral drug ribavirin is also not recommended for routine treatment of RSV infection but may be considered in select immunocompromised individuals. Antibiotics should not be used in infants and children diagnosed as having RSV bronchiolitis, unless there is evidence or suspicion of a concomitant bacterial infection. (4)(5)(6) • On the basis of strong research evidence, hand washing or disinfection by all caregivers and contact isolation of patients are highly effective in …","author":[{"dropping-particle":"","family":"Piedimonte","given":"Giovanni","non-dropping-particle":"","parse-names":false,"suffix":""},{"dropping-particle":"","family":"Perez","given":"Miriam K.","non-dropping-particle":"","parse-names":false,"suffix":""}],"container-title":"Pediatrics in Review","id":"ITEM-1","issue":"12","issued":{"date-parts":[["2014","12","1"]]},"page":"519-530","publisher":"American Academy of Pediatrics","title":"Respiratory syncytial virus infection and bronchiolitis","type":"article-journal","volume":"35"},"uris":["http://www.mendeley.com/documents/?uuid=94d0e4e7-9bf7-300f-a369-1627539132f1"]}],"mendeley":{"formattedCitation":"&lt;sup&gt;20&lt;/sup&gt;","plainTextFormattedCitation":"20","previouslyFormattedCitation":"&lt;sup&gt;19&lt;/sup&gt;"},"properties":{"noteIndex":0},"schema":"https://github.com/citation-style-language/schema/raw/master/csl-citation.json"}</w:instrText>
      </w:r>
      <w:r>
        <w:rPr>
          <w:shd w:val="clear" w:color="auto" w:fill="FFFFFF"/>
        </w:rPr>
        <w:fldChar w:fldCharType="separate"/>
      </w:r>
      <w:r w:rsidRPr="008C02B1">
        <w:rPr>
          <w:noProof/>
          <w:shd w:val="clear" w:color="auto" w:fill="FFFFFF"/>
          <w:vertAlign w:val="superscript"/>
        </w:rPr>
        <w:t>20</w:t>
      </w:r>
      <w:r>
        <w:rPr>
          <w:shd w:val="clear" w:color="auto" w:fill="FFFFFF"/>
        </w:rPr>
        <w:fldChar w:fldCharType="end"/>
      </w:r>
      <w:r>
        <w:rPr>
          <w:shd w:val="clear" w:color="auto" w:fill="FFFFFF"/>
        </w:rPr>
        <w:t xml:space="preserve">. </w:t>
      </w:r>
    </w:p>
    <w:p w14:paraId="32A880D4" w14:textId="77777777" w:rsidR="000979B2" w:rsidRDefault="000979B2" w:rsidP="000979B2">
      <w:pPr>
        <w:rPr>
          <w:shd w:val="clear" w:color="auto" w:fill="FFFFFF"/>
        </w:rPr>
      </w:pPr>
      <w:r>
        <w:t>1 – 2 days following an initial upper respiratory prodrome,</w:t>
      </w:r>
      <w:r w:rsidRPr="0065581B">
        <w:t xml:space="preserve"> </w:t>
      </w:r>
      <w:r>
        <w:t>including cough, sneezing, nasal congestion, poor feeding and low-grade fever</w:t>
      </w:r>
      <w:r>
        <w:fldChar w:fldCharType="begin" w:fldLock="1"/>
      </w:r>
      <w:r>
        <w:instrText>ADDIN CSL_CITATION {"citationItems":[{"id":"ITEM-1","itemData":{"DOI":"10.1097/01.NPR.0000490395.74098.08","ISSN":"0361-1817","abstract":"Respiratory syncytial virus (RSV) is one of the major causes of respiratory tract illness in children and can lead to signifi cant infection and death. This article discusses the incidence, clinical presentation, diagnosis, current treatment, and prevention options to successfully diagnose and treat infections caused by RSV.","author":[{"dropping-particle":"","family":"Napierkowski","given":"Daria B.","non-dropping-particle":"","parse-names":false,"suffix":""}],"container-title":"The Nurse Practitioner","id":"ITEM-1","issue":"9","issued":{"date-parts":[["2016","9"]]},"page":"1-4","publisher":"Lippincott Williams and Wilkins","title":"Diagnosing and treating respiratory syncytial virus bronchiolitis","type":"article-journal","volume":"41"},"uris":["http://www.mendeley.com/documents/?uuid=c43d83a1-4685-3344-b017-4f0c6b2a7f23"]}],"mendeley":{"formattedCitation":"&lt;sup&gt;21&lt;/sup&gt;","plainTextFormattedCitation":"21","previouslyFormattedCitation":"&lt;sup&gt;20&lt;/sup&gt;"},"properties":{"noteIndex":0},"schema":"https://github.com/citation-style-language/schema/raw/master/csl-citation.json"}</w:instrText>
      </w:r>
      <w:r>
        <w:fldChar w:fldCharType="separate"/>
      </w:r>
      <w:r w:rsidRPr="008C02B1">
        <w:rPr>
          <w:noProof/>
          <w:vertAlign w:val="superscript"/>
        </w:rPr>
        <w:t>21</w:t>
      </w:r>
      <w:r>
        <w:fldChar w:fldCharType="end"/>
      </w:r>
      <w:r>
        <w:t xml:space="preserve">, the child will display </w:t>
      </w:r>
      <w:r>
        <w:rPr>
          <w:shd w:val="clear" w:color="auto" w:fill="FFFFFF"/>
        </w:rPr>
        <w:t>increased respiratory effort, tachypnoea (fast breathing for age), wheezing,</w:t>
      </w:r>
      <w:r w:rsidRPr="00856DFE">
        <w:t xml:space="preserve"> </w:t>
      </w:r>
      <w:r>
        <w:t>and hyperinflation caused by air trapping in the alveoli. These are common features of bronchiolitis. If there is a complete obstruction of the bronchiole, it stops alveolar ventilation as gases are absorbed into the circulation and the alveolus collapses – localised atelectasis</w:t>
      </w:r>
      <w:r>
        <w:fldChar w:fldCharType="begin" w:fldLock="1"/>
      </w:r>
      <w:r>
        <w:instrText>ADDIN CSL_CITATION {"citationItems":[{"id":"ITEM-1","itemData":{"DOI":"10.1056/NEJMra1413456","ISSN":"0028-4793","abstract":"This review on bronchiolitis in young children considers the viruses involved, the current understanding of pathogenesis, host genetic factors and the environment, and the role of season, race, and...","author":[{"dropping-particle":"","family":"Meissner","given":"H. Cody","non-dropping-particle":"","parse-names":false,"suffix":""}],"container-title":"New England Journal of Medicine","editor":[{"dropping-particle":"","family":"Ingelfinger","given":"Julie R.","non-dropping-particle":"","parse-names":false,"suffix":""}],"id":"ITEM-1","issue":"1","issued":{"date-parts":[["2016","1","7"]]},"page":"62-72","publisher":"Massachussetts Medical Society","title":"Viral Bronchiolitis in Children","type":"article-journal","volume":"374"},"uris":["http://www.mendeley.com/documents/?uuid=804536b7-e355-320a-8457-e03d853f90fb"]}],"mendeley":{"formattedCitation":"&lt;sup&gt;19&lt;/sup&gt;","plainTextFormattedCitation":"19","previouslyFormattedCitation":"&lt;sup&gt;18&lt;/sup&gt;"},"properties":{"noteIndex":0},"schema":"https://github.com/citation-style-language/schema/raw/master/csl-citation.json"}</w:instrText>
      </w:r>
      <w:r>
        <w:fldChar w:fldCharType="separate"/>
      </w:r>
      <w:r w:rsidRPr="008C02B1">
        <w:rPr>
          <w:noProof/>
          <w:vertAlign w:val="superscript"/>
        </w:rPr>
        <w:t>19</w:t>
      </w:r>
      <w:r>
        <w:fldChar w:fldCharType="end"/>
      </w:r>
      <w:r>
        <w:t xml:space="preserve"> (or lung collapse). </w:t>
      </w:r>
    </w:p>
    <w:p w14:paraId="0563157E" w14:textId="77777777" w:rsidR="000979B2" w:rsidRDefault="000979B2" w:rsidP="000979B2">
      <w:pPr>
        <w:spacing w:after="0"/>
        <w:rPr>
          <w:color w:val="FF0000"/>
        </w:rPr>
      </w:pPr>
      <w:r>
        <w:rPr>
          <w:shd w:val="clear" w:color="auto" w:fill="FFFFFF"/>
        </w:rPr>
        <w:t xml:space="preserve">Pathogen invasion and proliferation into the lung parenchyma (where gas exchange occurs) and the </w:t>
      </w:r>
      <w:r>
        <w:rPr>
          <w:color w:val="000000"/>
          <w:shd w:val="clear" w:color="auto" w:fill="FFFFFF"/>
        </w:rPr>
        <w:t>host’s inflammatory response against it causes the clinical syndrome of </w:t>
      </w:r>
      <w:r w:rsidRPr="0000109A">
        <w:t>pneumonia</w:t>
      </w:r>
      <w:r>
        <w:t>. Bacterial causes of pneumonia tend to produce more severe disease than viral pneumonia</w:t>
      </w:r>
      <w:r>
        <w:fldChar w:fldCharType="begin" w:fldLock="1"/>
      </w:r>
      <w:r>
        <w:instrText>ADDIN CSL_CITATION {"citationItems":[{"id":"ITEM-1","itemData":{"DOI":"10.1016/S0140-6736(19)30721-4","abstract":"Background Pneumonia is the leading cause of death among children younger than 5 years. In this study, we estimated causes of pneumonia in young African and Asian children, using novel analytical methods applied to clinical and microbiological findings.","author":[{"dropping-particle":"","family":"O","given":"Katherine L","non-dropping-particle":"","parse-names":false,"suffix":""},{"dropping-particle":"","family":"Baggett","given":"Henry C","non-dropping-particle":"","parse-names":false,"suffix":""},{"dropping-particle":"","family":"Abdullah Brooks","given":"W","non-dropping-particle":"","parse-names":false,"suffix":""},{"dropping-particle":"","family":"Feikin","given":"Daniel R","non-dropping-particle":"","parse-names":false,"suffix":""},{"dropping-particle":"","family":"Hammitt","given":"Laura L","non-dropping-particle":"","parse-names":false,"suffix":""},{"dropping-particle":"","family":"Higdon","given":"Melissa M","non-dropping-particle":"","parse-names":false,"suffix":""},{"dropping-particle":"","family":"C Howie","given":"Stephen R","non-dropping-particle":"","parse-names":false,"suffix":""},{"dropping-particle":"","family":"Deloria Knoll","given":"Maria","non-dropping-particle":"","parse-names":false,"suffix":""},{"dropping-particle":"","family":"Kotloff","given":"Karen L","non-dropping-particle":"","parse-names":false,"suffix":""},{"dropping-particle":"","family":"Levine","given":"Orin S","non-dropping-particle":"","parse-names":false,"suffix":""},{"dropping-particle":"","family":"Madhi","given":"Shabir A","non-dropping-particle":"","parse-names":false,"suffix":""},{"dropping-particle":"","family":"Murdoch","given":"David R","non-dropping-particle":"","parse-names":false,"suffix":""},{"dropping-particle":"","family":"Prosperi","given":"Christine","non-dropping-particle":"","parse-names":false,"suffix":""},{"dropping-particle":"","family":"Anthony Scott","given":"J G","non-dropping-particle":"","parse-names":false,"suffix":""},{"dropping-particle":"","family":"Shi","given":"Qiyuan","non-dropping-particle":"","parse-names":false,"suffix":""},{"dropping-particle":"","family":"Thea","given":"Donald M","non-dropping-particle":"","parse-names":false,"suffix":""},{"dropping-particle":"","family":"Wu","given":"Zhenke","non-dropping-particle":"","parse-names":false,"suffix":""},{"dropping-particle":"","family":"Zeger","given":"Scott L","non-dropping-particle":"","parse-names":false,"suffix":""},{"dropping-particle":"V","family":"Adrian","given":"Peter","non-dropping-particle":"","parse-names":false,"suffix":""},{"dropping-particle":"","family":"Akarasewi","given":"Pasakorn","non-dropping-particle":"","parse-names":false,"suffix":""},{"dropping-particle":"","family":"Anderson","given":"Trevor P","non-dropping-particle":"","parse-names":false,"suffix":""},{"dropping-particle":"","family":"Antonio","given":"Martin","non-dropping-particle":"","parse-names":false,"suffix":""},{"dropping-particle":"","family":"Awori","given":"Juliet O","non-dropping-particle":"","parse-names":false,"suffix":""},{"dropping-particle":"","family":"Baillie","given":"Vicky L","non-dropping-particle":"","parse-names":false,"suffix":""},{"dropping-particle":"","family":"Bunthi","given":"Charatdao","non-dropping-particle":"","parse-names":false,"suffix":""},{"dropping-particle":"","family":"Chipeta","given":"James","non-dropping-particle":"","parse-names":false,"suffix":""},{"dropping-particle":"","family":"Jobayer Chisti","given":"Mohammod","non-dropping-particle":"","parse-names":false,"suffix":""},{"dropping-particle":"","family":"Crawley","given":"Jane","non-dropping-particle":"","parse-names":false,"suffix":""},{"dropping-particle":"","family":"DeLuca","given":"Andrea N","non-dropping-particle":"","parse-names":false,"suffix":""},{"dropping-particle":"","family":"Driscoll","given":"Amanda J","non-dropping-particle":"","parse-names":false,"suffix":""},{"dropping-particle":"","family":"Ebruke","given":"Bernard E","non-dropping-particle":"","parse-names":false,"suffix":""},{"dropping-particle":"","family":"Endtz","given":"Hubert P","non-dropping-particle":"","parse-names":false,"suffix":""},{"dropping-particle":"","family":"Fancourt","given":"Nicholas","non-dropping-particle":"","parse-names":false,"suffix":""},{"dropping-particle":"","family":"Fu","given":"Wei","non-dropping-particle":"","parse-names":false,"suffix":""},{"dropping-particle":"","family":"Goswami","given":"Doli","non-dropping-particle":"","parse-names":false,"suffix":""},{"dropping-particle":"","family":"Groome","given":"Michelle J","non-dropping-particle":"","parse-names":false,"suffix":""},{"dropping-particle":"","family":"Haddix","given":"Meredith","non-dropping-particle":"","parse-names":false,"suffix":""},{"dropping-particle":"","family":"Hossain","given":"Lokman","non-dropping-particle":"","parse-names":false,"suffix":""},{"dropping-particle":"","family":"Jahan","given":"Yasmin","non-dropping-particle":"","parse-names":false,"suffix":""},{"dropping-particle":"","family":"Wangeci Kagucia","given":"E","non-dropping-particle":"","parse-names":false,"suffix":""},{"dropping-particle":"","family":"Kamau","given":"Alice","non-dropping-particle":"","parse-names":false,"suffix":""},{"dropping-particle":"","family":"Karron","given":"Ruth A","non-dropping-particle":"","parse-names":false,"suffix":""},{"dropping-particle":"","family":"Kazungu","given":"Sidi","non-dropping-particle":"","parse-names":false,"suffix":""},{"dropping-particle":"","family":"Kourouma","given":"Nana","non-dropping-particle":"","parse-names":false,"suffix":""},{"dropping-particle":"","family":"Kuwanda","given":"Locadiah","non-dropping-particle":"","parse-names":false,"suffix":""},{"dropping-particle":"","family":"Kwenda","given":"Geoffrey","non-dropping-particle":"","parse-names":false,"suffix":""},{"dropping-particle":"","family":"Li","given":"Mengying","non-dropping-particle":"","parse-names":false,"suffix":""},{"dropping-particle":"","family":"Machuka","given":"Eunice M","non-dropping-particle":"","parse-names":false,"suffix":""},{"dropping-particle":"","family":"Mackenzie","given":"Grant","non-dropping-particle":"","parse-names":false,"suffix":""},{"dropping-particle":"","family":"Mahomed","given":"Nasreen","non-dropping-particle":"","parse-names":false,"suffix":""},{"dropping-particle":"","family":"Maloney","given":"Susan A","non-dropping-particle":"","parse-names":false,"suffix":""},{"dropping-particle":"","family":"McLellan","given":"Jessica L","non-dropping-particle":"","parse-names":false,"suffix":""},{"dropping-particle":"","family":"Mitchell","given":"Joanne L","non-dropping-particle":"","parse-names":false,"suffix":""},{"dropping-particle":"","family":"Moore","given":"David P","non-dropping-particle":"","parse-names":false,"suffix":""},{"dropping-particle":"","family":"Morpeth","given":"Susan C","non-dropping-particle":"","parse-names":false,"suffix":""},{"dropping-particle":"","family":"Mudau","given":"Azwifarwi","non-dropping-particle":"","parse-names":false,"suffix":""},{"dropping-particle":"","family":"Mwananyanda","given":"Lawrence","non-dropping-particle":"","parse-names":false,"suffix":""},{"dropping-particle":"","family":"Mwansa","given":"James","non-dropping-particle":"","parse-names":false,"suffix":""},{"dropping-particle":"","family":"Silaba Ominde","given":"Micah","non-dropping-particle":"","parse-names":false,"suffix":""},{"dropping-particle":"","family":"Onwuchekwa","given":"Uma","non-dropping-particle":"","parse-names":false,"suffix":""},{"dropping-particle":"","family":"Park","given":"Daniel E","non-dropping-particle":"","parse-names":false,"suffix":""},{"dropping-particle":"","family":"Rhodes","given":"Julia","non-dropping-particle":"","parse-names":false,"suffix":""},{"dropping-particle":"","family":"Sawatwong","given":"Pongpun","non-dropping-particle":"","parse-names":false,"suffix":""},{"dropping-particle":"","family":"Seidenberg","given":"Phil","non-dropping-particle":"","parse-names":false,"suffix":""},{"dropping-particle":"","family":"Shamsul","given":"Arifin","non-dropping-particle":"","parse-names":false,"suffix":""},{"dropping-particle":"","family":"Simões","given":"Eric AF","non-dropping-particle":"","parse-names":false,"suffix":""},{"dropping-particle":"","family":"Sissoko","given":"Seydou","non-dropping-particle":"","parse-names":false,"suffix":""},{"dropping-particle":"","family":"Wa Somwe","given":"Somwe","non-dropping-particle":"","parse-names":false,"suffix":""},{"dropping-particle":"","family":"Sow","given":"Samba O","non-dropping-particle":"","parse-names":false,"suffix":""},{"dropping-particle":"","family":"Sylla","given":"Mamadou","non-dropping-particle":"","parse-names":false,"suffix":""},{"dropping-particle":"","family":"Tamboura","given":"Boubou","non-dropping-particle":"","parse-names":false,"suffix":""},{"dropping-particle":"","family":"Tapia","given":"Milagritos D","non-dropping-particle":"","parse-names":false,"suffix":""},{"dropping-particle":"","family":"Thamthitiwat","given":"Somsak","non-dropping-particle":"","parse-names":false,"suffix":""},{"dropping-particle":"","family":"Toure","given":"Aliou","non-dropping-particle":"","parse-names":false,"suffix":""},{"dropping-particle":"","family":"Watson","given":"Nora L","non-dropping-particle":"","parse-names":false,"suffix":""},{"dropping-particle":"","family":"Zaman","given":"Khalequ","non-dropping-particle":"","parse-names":false,"suffix":""},{"dropping-particle":"","family":"A Zaman","given":"Syed M","non-dropping-particle":"","parse-names":false,"suffix":""},{"dropping-particle":"","family":"Pneumonia Etiology Research for Child Health Study Group","given":"The","non-dropping-particle":"","parse-names":false,"suffix":""}],"id":"ITEM-1","issued":{"date-parts":[["2019"]]},"title":"Articles Causes of severe pneumonia requiring hospital admission in children without HIV infection from Africa and Asia: the PERCH multi-country case-control study","type":"article-journal"},"uris":["http://www.mendeley.com/documents/?uuid=f0fa90d6-d005-3f52-a02f-3e5d68e8a2da"]}],"mendeley":{"formattedCitation":"&lt;sup&gt;10&lt;/sup&gt;","plainTextFormattedCitation":"10","previouslyFormattedCitation":"&lt;sup&gt;9&lt;/sup&gt;"},"properties":{"noteIndex":0},"schema":"https://github.com/citation-style-language/schema/raw/master/csl-citation.json"}</w:instrText>
      </w:r>
      <w:r>
        <w:fldChar w:fldCharType="separate"/>
      </w:r>
      <w:r w:rsidRPr="008C02B1">
        <w:rPr>
          <w:noProof/>
          <w:vertAlign w:val="superscript"/>
        </w:rPr>
        <w:t>10</w:t>
      </w:r>
      <w:r>
        <w:fldChar w:fldCharType="end"/>
      </w:r>
      <w:r>
        <w:t>. I</w:t>
      </w:r>
      <w:r>
        <w:rPr>
          <w:shd w:val="clear" w:color="auto" w:fill="FFFFFF"/>
        </w:rPr>
        <w:t xml:space="preserve">nflammation and </w:t>
      </w:r>
      <w:r>
        <w:rPr>
          <w:color w:val="000000"/>
          <w:shd w:val="clear" w:color="auto" w:fill="FFFFFF"/>
        </w:rPr>
        <w:t>exudative fluid accumulates in the pulmonary parenchyma compromises respiratory function</w:t>
      </w:r>
      <w:r>
        <w:rPr>
          <w:color w:val="000000"/>
          <w:shd w:val="clear" w:color="auto" w:fill="FFFFFF"/>
        </w:rPr>
        <w:fldChar w:fldCharType="begin" w:fldLock="1"/>
      </w:r>
      <w:r>
        <w:rPr>
          <w:color w:val="000000"/>
          <w:shd w:val="clear" w:color="auto" w:fill="FFFFFF"/>
        </w:rPr>
        <w:instrText>ADDIN CSL_CITATION {"citationItems":[{"id":"ITEM-1","itemData":{"DOI":"10.1152/PHYSREV.00032.2017","ISSN":"15221210","PMID":"29767563","abstract":"Pneumonia is a type of acute lower respiratory infection that is common and severe. The outcome of lower respiratory infection is determined by the degrees to which immunity is protective and inflammation is damaging. Intercellular and interorgan signaling net-works coordinate these actions to fight infection and protect the tissue. Cells residing in the lung initiate and steer these responses, with additional immunity effectors recruited from the bloodstream. Responses of extrapulmonary tissues, including the liver, bone marrow, and others, are essential to resistance and resilience. Responses in the lung and extrapulmonary organs can also be counterproductive and drive acute and chronic comorbidities after respiratory infection. This review discusses cell-specific and organ-specific roles in the integrated physiological response to acute lung infection, and the mechanisms by which intercellular and interorgan signaling contribute to host defense and healthy respiratory physiology or to acute lung injury, chronic pulmonary disease, and adverse extrapulmonary sequelae. Pneumonia should no longer be perceived as simply an acute infection of the lung. Pneumonia susceptibility reflects ongoing and poorly understood chronic conditions, and pneumonia results in diverse and often persistent deleterious consequences for multiple physiological systems.","author":[{"dropping-particle":"","family":"Quinton","given":"Lee J.","non-dropping-particle":"","parse-names":false,"suffix":""},{"dropping-particle":"","family":"Walkey","given":"Allan J.","non-dropping-particle":"","parse-names":false,"suffix":""},{"dropping-particle":"","family":"Mizgerd","given":"Joseph P.","non-dropping-particle":"","parse-names":false,"suffix":""}],"container-title":"Physiological Reviews","id":"ITEM-1","issue":"3","issued":{"date-parts":[["2018","5","16"]]},"page":"1417-1464","publisher":"American Physiological Society","title":"Integrative physiology of pneumonia","type":"article-journal","volume":"98"},"uris":["http://www.mendeley.com/documents/?uuid=a2b8eba8-1303-33da-86f0-bfd8a0912c89"]}],"mendeley":{"formattedCitation":"&lt;sup&gt;22&lt;/sup&gt;","plainTextFormattedCitation":"22","previouslyFormattedCitation":"&lt;sup&gt;21&lt;/sup&gt;"},"properties":{"noteIndex":0},"schema":"https://github.com/citation-style-language/schema/raw/master/csl-citation.json"}</w:instrText>
      </w:r>
      <w:r>
        <w:rPr>
          <w:color w:val="000000"/>
          <w:shd w:val="clear" w:color="auto" w:fill="FFFFFF"/>
        </w:rPr>
        <w:fldChar w:fldCharType="separate"/>
      </w:r>
      <w:r w:rsidRPr="008C02B1">
        <w:rPr>
          <w:noProof/>
          <w:color w:val="000000"/>
          <w:shd w:val="clear" w:color="auto" w:fill="FFFFFF"/>
          <w:vertAlign w:val="superscript"/>
        </w:rPr>
        <w:t>22</w:t>
      </w:r>
      <w:r>
        <w:rPr>
          <w:color w:val="000000"/>
          <w:shd w:val="clear" w:color="auto" w:fill="FFFFFF"/>
        </w:rPr>
        <w:fldChar w:fldCharType="end"/>
      </w:r>
      <w:r>
        <w:rPr>
          <w:color w:val="000000"/>
          <w:shd w:val="clear" w:color="auto" w:fill="FFFFFF"/>
        </w:rPr>
        <w:t>; r</w:t>
      </w:r>
      <w:r>
        <w:t>elated symptoms include cough, difficulty breathing, fast breathing, drawing the muscles under the chest when breathing, and poor feeding, and in young infants, apnoea, grunting and head nodding as signs of severe respiratory distress</w:t>
      </w:r>
      <w:r>
        <w:fldChar w:fldCharType="begin" w:fldLock="1"/>
      </w:r>
      <w:r>
        <w:instrText>ADDIN CSL_CITATION {"citationItems":[{"id":"ITEM-1","itemData":{"DOI":"10.1097/MCC.0000000000000435","ISSN":"1070-5295","abstract":"Purpose of review We aim to review the epidemiology of pneumonia with bacterial and viral coinfection, the pathogenesis and clinical impact of coinfection along with the current state of treatment and outcomes. Recent findings Emphasis is given to the pathogenesis of bacterial and viral co-infection including specific highlighting on influenza, rhinovirus, respiratory syncytial virus and cytomegalovirus. Updates on the current state of diagnosis and management are included, as well as on areas where future research can be directed to improve patient clinical outcomes regarding viral and bacterial coinfection. Summary Bacterial and viral coinfection is increasingly recognized as an underlying etiology for community- and hospital-acquired infections. Coinfections may be a risk factor for ICU admission, severity of disease, and mortality. Clinicians must be aware of these coinfections for appropriate management and prognostication, as well as for the prevention of nosocomial spread of viral illness.","author":[{"dropping-particle":"","family":"Cawcutt","given":"Kelly","non-dropping-particle":"","parse-names":false,"suffix":""},{"dropping-particle":"","family":"Kalil","given":"Andre C.","non-dropping-particle":"","parse-names":false,"suffix":""}],"container-title":"Current Opinion in Critical Care","id":"ITEM-1","issue":"5","issued":{"date-parts":[["2017","10","1"]]},"page":"385-390","publisher":"Lippincott Williams and Wilkins","title":"Pneumonia with bacterial and viral coinfection","type":"article-journal","volume":"23"},"uris":["http://www.mendeley.com/documents/?uuid=edd481eb-4dfe-3508-83ba-f0783740ccb7"]}],"mendeley":{"formattedCitation":"&lt;sup&gt;23&lt;/sup&gt;","plainTextFormattedCitation":"23","previouslyFormattedCitation":"&lt;sup&gt;22&lt;/sup&gt;"},"properties":{"noteIndex":0},"schema":"https://github.com/citation-style-language/schema/raw/master/csl-citation.json"}</w:instrText>
      </w:r>
      <w:r>
        <w:fldChar w:fldCharType="separate"/>
      </w:r>
      <w:r w:rsidRPr="008C02B1">
        <w:rPr>
          <w:noProof/>
          <w:vertAlign w:val="superscript"/>
        </w:rPr>
        <w:t>23</w:t>
      </w:r>
      <w:r>
        <w:fldChar w:fldCharType="end"/>
      </w:r>
      <w:r>
        <w:t>.</w:t>
      </w:r>
      <w:r w:rsidRPr="0097034B">
        <w:rPr>
          <w:color w:val="FF0000"/>
        </w:rPr>
        <w:t xml:space="preserve"> </w:t>
      </w:r>
    </w:p>
    <w:p w14:paraId="453C3965" w14:textId="77777777" w:rsidR="000979B2" w:rsidRDefault="000979B2" w:rsidP="000979B2">
      <w:r>
        <w:rPr>
          <w:shd w:val="clear" w:color="auto" w:fill="FFFFFF"/>
        </w:rPr>
        <w:t xml:space="preserve">A single pathogen can cause several clinical illnesses at once, in particular respiratory viruses. For this model, </w:t>
      </w:r>
      <w:r>
        <w:t>only the more severe disease will be registered as the underlying condition: ascending severity is viral bronchiolitis, viral pneumonia, to bacterial pneumonia.</w:t>
      </w:r>
      <w:r>
        <w:rPr>
          <w:color w:val="000000"/>
          <w:shd w:val="clear" w:color="auto" w:fill="FFFFFF"/>
        </w:rPr>
        <w:t xml:space="preserve"> </w:t>
      </w:r>
      <w:r>
        <w:t>Hence, in the natural history model structure, the ALRIs are grouped into three disease categories: Primary Viral Pneumonia, Primary/Secondary Bacterial Pneumonia which includes viral/ bacterial co-infection, and Viral Bronchiolitis. This choice of grouping primary bacterial pneumonia with a co/secondary bacterial pneumonia is backed up by evidence that children with bacterial infections alone or with viral-bacterial co-infection have worse outcomes than children with a single or dual viral infection alone</w:t>
      </w:r>
      <w:r>
        <w:fldChar w:fldCharType="begin" w:fldLock="1"/>
      </w:r>
      <w:r>
        <w:instrText>ADDIN CSL_CITATION {"citationItems":[{"id":"ITEM-1","itemData":{"DOI":"10.1093/infdis/jix641","abstract":"Background. Recognition that coinfections are common in children with community-acquired pneumonia (CAP) is increasing, but gaps remain in our understanding of their frequency and importance. Methods. We analyzed data from 2219 children hospitalized with CAP and compared demographic and clinical characteristics and outcomes between groups with viruses alone, bacteria alone, or coinfections. We also assessed the frequency of selected pairings of codetected pathogens and their clinical characteristics. Results. A total of 576 children (26%) had a coinfection. Children with only virus detected were younger, more likely to be black, and more likely to have comorbidities such as asthma, compared with children infected with typical bacteria alone. Children with virus-bacterium coinfections had a higher frequency of leukocytosis, consolidation on chest radiography, parapneumonic effusions, intensive care unit admission, and need for mechanical ventilation and an increased length of stay, compared with children infected with viruses alone. Virus-virus coinfections were generally comparable to single-virus infections, with the exception of the need for oxygen supplementation, which was higher during the first 24 hours of hospitalization in some virus-virus pairings. Conclusions. Coinfections occurred in 26% of children hospitalized for CAP. Children with typical bacterial infections, alone or complicated by a viral infection, have worse outcomes than children infected with a virus alone.","author":[{"dropping-particle":"","family":"Nolan","given":"Vikki G","non-dropping-particle":"","parse-names":false,"suffix":""},{"dropping-particle":"","family":"Arnold","given":"Sandra R","non-dropping-particle":"","parse-names":false,"suffix":""},{"dropping-particle":"","family":"Bramley","given":"Anna M","non-dropping-particle":"","parse-names":false,"suffix":""},{"dropping-particle":"","family":"Ampofo","given":"Krow","non-dropping-particle":"","parse-names":false,"suffix":""},{"dropping-particle":"","family":"Williams","given":"Derek J","non-dropping-particle":"","parse-names":false,"suffix":""},{"dropping-particle":"","family":"Grijalva","given":"Carlos G","non-dropping-particle":"","parse-names":false,"suffix":""},{"dropping-particle":"","family":"Self","given":"Wesley H","non-dropping-particle":"","parse-names":false,"suffix":""},{"dropping-particle":"","family":"Anderson","given":"Evan J","non-dropping-particle":"","parse-names":false,"suffix":""},{"dropping-particle":"","family":"Wunderink","given":"Richard G","non-dropping-particle":"","parse-names":false,"suffix":""},{"dropping-particle":"","family":"Edwards","given":"Kathryn M","non-dropping-particle":"","parse-names":false,"suffix":""},{"dropping-particle":"","family":"Pavia","given":"Andrew T","non-dropping-particle":"","parse-names":false,"suffix":""},{"dropping-particle":"","family":"Jain","given":"Seema","non-dropping-particle":"","parse-names":false,"suffix":""},{"dropping-particle":"","family":"Mccullers","given":"Jonathan A","non-dropping-particle":"","parse-names":false,"suffix":""}],"id":"ITEM-1","issued":{"date-parts":[["0"]]},"title":"Etiology and Impact of Coinfections in Children Hospitalized With Community-Acquired Pneumonia","type":"article-journal"},"uris":["http://www.mendeley.com/documents/?uuid=8c15bf1d-3cc8-3168-86a5-89e8d79f6cda"]}],"mendeley":{"formattedCitation":"&lt;sup&gt;24&lt;/sup&gt;","plainTextFormattedCitation":"24","previouslyFormattedCitation":"&lt;sup&gt;23&lt;/sup&gt;"},"properties":{"noteIndex":0},"schema":"https://github.com/citation-style-language/schema/raw/master/csl-citation.json"}</w:instrText>
      </w:r>
      <w:r>
        <w:fldChar w:fldCharType="separate"/>
      </w:r>
      <w:r w:rsidRPr="008C02B1">
        <w:rPr>
          <w:noProof/>
          <w:vertAlign w:val="superscript"/>
        </w:rPr>
        <w:t>24</w:t>
      </w:r>
      <w:r>
        <w:fldChar w:fldCharType="end"/>
      </w:r>
      <w:r>
        <w:t>. Bacterial co-infections during viral bronchiolitis have been associated with worse clinical outcomes</w:t>
      </w:r>
      <w:r>
        <w:fldChar w:fldCharType="begin" w:fldLock="1"/>
      </w:r>
      <w:r>
        <w:instrText>ADDIN CSL_CITATION {"citationItems":[{"id":"ITEM-1","itemData":{"DOI":"10.1177/0009922818816432","ISSN":"19382707","PMID":"30547669","abstract":"Objectives. Viral bronchiolitis is a frequent cause of pediatric hospitalization and respiratory failure. Procalcitonin (PCT) is a biomarker used to identify serious bacterial infection and can distinguish bacterial and viral infections. Concomitant bacterial pneumonia is not rare in viral bronchiolitis and can lead to a worse clinical course. This study examined the use of PCT in pediatric patients with respiratory failure attributed to viral bronchiolitis to predict concomitant bacterial pneumonia. Methods. This prospective descriptive study evaluated children less than 4 years of age who underwent endotracheal intubation for respiratory failure due to viral bronchiolitis. PCT levels and endotracheal aspirate cultures were obtained at admission. Bacterial pneumonia was defined as at least moderate growth of a single pathogenic organism from endotracheal culture. PCT levels were evaluated in groups with and without concomitant bacterial pneumonia. Results. Thirty-five patients were enrolled between February 2013 and May 2015. All subjects tested positive for at least 1 viral pathogen by nasal wash polymerase chain reaction or enzyme immunoassay. The top viruses obtained were respiratory syncytial virus (n = 15, 42.8%) and rhinovirus (n = 8, 22.9%). The incidence of bacterial pneumonia was 60% (21/35). The PCT median was 0.93 ng/mL (interquartile range = 0.25-6.64) in the bacterial pneumonia group and 1.85 ng/mL (interquartile range = 0.28-7.94) in the nonbacterial pneumonia group. No correlation was found between PCT and bronchiolitis with bacterial coinfection (P =.74). Conclusion. Incidence of bacterial coinfection in patients with respiratory failure and viral bronchiolitis was high. PCT did not predict concomitant bacterial pneumonia in children with viral bronchiolitis.","author":[{"dropping-particle":"","family":"Ericksen","given":"Ryan T.","non-dropping-particle":"","parse-names":false,"suffix":""},{"dropping-particle":"","family":"Guthrie","given":"Cecilia","non-dropping-particle":"","parse-names":false,"suffix":""},{"dropping-particle":"","family":"Carroll","given":"Timothy","non-dropping-particle":"","parse-names":false,"suffix":""}],"container-title":"Clinical Pediatrics","id":"ITEM-1","issue":"3","issued":{"date-parts":[["2019","3","1"]]},"page":"288-294","publisher":"SAGE Publications Inc.","title":"The Use of Procalcitonin for Prediction of Pulmonary Bacterial Coinfection in Children With Respiratory Failure Associated With Viral Bronchiolitis","type":"article-journal","volume":"58"},"uris":["http://www.mendeley.com/documents/?uuid=2e370d21-ec90-3b82-90fd-860752fd996f"]}],"mendeley":{"formattedCitation":"&lt;sup&gt;25&lt;/sup&gt;","plainTextFormattedCitation":"25","previouslyFormattedCitation":"&lt;sup&gt;24&lt;/sup&gt;"},"properties":{"noteIndex":0},"schema":"https://github.com/citation-style-language/schema/raw/master/csl-citation.json"}</w:instrText>
      </w:r>
      <w:r>
        <w:fldChar w:fldCharType="separate"/>
      </w:r>
      <w:r w:rsidRPr="008C02B1">
        <w:rPr>
          <w:noProof/>
          <w:vertAlign w:val="superscript"/>
        </w:rPr>
        <w:t>25</w:t>
      </w:r>
      <w:r>
        <w:fldChar w:fldCharType="end"/>
      </w:r>
      <w:r>
        <w:t xml:space="preserve">. Additionally, there is no strong evidence in the literature regarding co-infections having worst outcomes, besides influenza virus followed by streptococcus. A third of </w:t>
      </w:r>
      <w:r w:rsidRPr="00081D88">
        <w:t>children</w:t>
      </w:r>
      <w:r>
        <w:t xml:space="preserve"> with ALRI</w:t>
      </w:r>
      <w:r w:rsidRPr="00081D88">
        <w:t xml:space="preserve"> have evidence of viral-bacterial co-infection</w:t>
      </w:r>
      <w:r>
        <w:fldChar w:fldCharType="begin" w:fldLock="1"/>
      </w:r>
      <w:r>
        <w:instrText>ADDIN CSL_CITATION {"citationItems":[{"id":"ITEM-1","itemData":{"DOI":"10.1016/S0140-6736(10)61459-6","ISSN":"01406736","abstract":"About 200 million cases of viral community-acquired pneumonia occur every year - 100 million in children and 100 million in adults. Molecular diagnostic tests have greatly increased our understanding of the role of viruses in pneumonia, and findings indicate that the incidence of viral pneumonia has been underestimated. In children, respiratory syncytial virus, rhinovirus, human metapneumovirus, human bocavirus, and parainfluenza viruses are the agents identified most frequently in both developed and developing countries. Dual viral infections are common, and a third of children have evidence of viral-bacterial co-infection. In adults, viruses are the putative causative agents in a third of cases of community-acquired pneumonia, in particular influenza viruses, rhinoviruses, and coronaviruses. Bacteria continue to have a predominant role in adults with pneumonia. Presence of viral epidemics in the community, patient's age, speed of onset of illness, symptoms, biomarkers, radiographic changes, and response to treatment can help differentiate viral from bacterial pneumonia. However, no clinical algorithm exists that will distinguish clearly the cause of pneumonia. No clear consensus has been reached about whether patients with obvious viral community-acquired pneumonia need to be treated with antibiotics. Apart from neuraminidase inhibitors for pneumonia caused by influenza viruses, there is no clear role for use of specific antivirals to treat viral community-acquired pneumonia. Influenza vaccines are the only available specific preventive measures. Further studies are needed to better understand the cause and pathogenesis of community-acquired pneumonia. Furthermore, regional differences in cause of pneumonia should be investigated, in particular to obtain more data from developing countries. © 2011 Elsevier Ltd.","author":[{"dropping-particle":"","family":"Ruuskanen","given":"Olli","non-dropping-particle":"","parse-names":false,"suffix":""},{"dropping-particle":"","family":"Lahti","given":"Elina","non-dropping-particle":"","parse-names":false,"suffix":""},{"dropping-particle":"","family":"Jennings","given":"Lance C.","non-dropping-particle":"","parse-names":false,"suffix":""},{"dropping-particle":"","family":"Murdoch","given":"David R.","non-dropping-particle":"","parse-names":false,"suffix":""}],"container-title":"The Lancet","id":"ITEM-1","issue":"9773","issued":{"date-parts":[["2011","4","9"]]},"page":"1264-1275","publisher":"Lancet Publishing Group","title":"Viral pneumonia","type":"article","volume":"377"},"uris":["http://www.mendeley.com/documents/?uuid=657c524d-20ab-49fb-838a-2310a5b40f11"]}],"mendeley":{"formattedCitation":"&lt;sup&gt;26&lt;/sup&gt;","plainTextFormattedCitation":"26","previouslyFormattedCitation":"&lt;sup&gt;25&lt;/sup&gt;"},"properties":{"noteIndex":0},"schema":"https://github.com/citation-style-language/schema/raw/master/csl-citation.json"}</w:instrText>
      </w:r>
      <w:r>
        <w:fldChar w:fldCharType="separate"/>
      </w:r>
      <w:r w:rsidRPr="008C02B1">
        <w:rPr>
          <w:noProof/>
          <w:vertAlign w:val="superscript"/>
        </w:rPr>
        <w:t>26</w:t>
      </w:r>
      <w:r>
        <w:fldChar w:fldCharType="end"/>
      </w:r>
      <w:r w:rsidRPr="00081D88">
        <w:t>.</w:t>
      </w:r>
      <w:r>
        <w:t xml:space="preserve"> Antibiotic treatment for pneumonia disease is targeted for those with a bacterial aetiology or the potential for a bacterial superinfection, however, empiric antibiotic therapy is substantial, and in particular in low- and middle- income countries, due to the challenge of specific aetiology diagnosis.</w:t>
      </w:r>
      <w:r w:rsidRPr="00081D88">
        <w:t> </w:t>
      </w:r>
      <w:r>
        <w:t>The synergy between viruses and bacteria is not yet fully understood, though the consensus theory, with evidence to back-up, is that progress to pneumonia can occur more rapidly if there is a pre-existing respiratory viral infection, as it increases bacterial adherence and invasion</w:t>
      </w:r>
      <w:r>
        <w:fldChar w:fldCharType="begin" w:fldLock="1"/>
      </w:r>
      <w:r>
        <w:instrText>ADDIN CSL_CITATION {"citationItems":[{"id":"ITEM-1","itemData":{"DOI":"10.1086/379833","ISSN":"00221899","PMID":"14673774","abstract":"To examine the effects of rhinovirus (RV) infection on the adherence of Streptococcus pneumoniae to human tracheal epithelial cells, cells were infected with RV-14, and S. pneumoniae were added to the culture medium. The number of S. pneumoniae adhering to epithelial cells increased after RV infection. Y-24180, a specific inhibitor of the platelet-activating factor receptor (PAF-R); PAF; and the pyrrolidine derivative of dithiocarbamate, an inhibitor of transcription factor nuclear factor-κB (NF-κB), decreased the number of S. pneumoniae adhering to cells after RV-14 infection. RV-14 infection increased PAF-R expression and the activation of NF-κB and promoter-specific transcription factor 1. These findings suggest that RV-14 infection stimulates S. pneumoniae adhesion to airway epithelial cells via increases in PAF-Rs that are partly mediated through activation of transcription factors. Increased adherence of S. pneumoniae may be one of the reasons that pneumonia develops after RV infection.","author":[{"dropping-particle":"","family":"Ishizuka","given":"Satoshi","non-dropping-particle":"","parse-names":false,"suffix":""},{"dropping-particle":"","family":"Yamaya","given":"Mutsuo","non-dropping-particle":"","parse-names":false,"suffix":""},{"dropping-particle":"","family":"Suzuki","given":"Tomoko","non-dropping-particle":"","parse-names":false,"suffix":""},{"dropping-particle":"","family":"Takahashi","given":"Hidenori","non-dropping-particle":"","parse-names":false,"suffix":""},{"dropping-particle":"","family":"Ida","given":"Shiroh","non-dropping-particle":"","parse-names":false,"suffix":""},{"dropping-particle":"","family":"Sasaki","given":"Takahiko","non-dropping-particle":"","parse-names":false,"suffix":""},{"dropping-particle":"","family":"Inoue","given":"Daisuke","non-dropping-particle":"","parse-names":false,"suffix":""},{"dropping-particle":"","family":"Sekizawa","given":"Kiyohisa","non-dropping-particle":"","parse-names":false,"suffix":""},{"dropping-particle":"","family":"Nishimura","given":"Hidekazu","non-dropping-particle":"","parse-names":false,"suffix":""},{"dropping-particle":"","family":"Sasaki","given":"Hidetada","non-dropping-particle":"","parse-names":false,"suffix":""}],"container-title":"Journal of Infectious Diseases","id":"ITEM-1","issue":"12","issued":{"date-parts":[["2003","12","15"]]},"page":"1928-1939","publisher":"University of Chicago Press","title":"Effects of Rhinovirus Infection on the Adherence of Streptococcus pneumoniae to Cultured Human Airway Epithelial Cells","type":"article-journal","volume":"188"},"uris":["http://www.mendeley.com/documents/?uuid=e32ac39b-1440-36ec-b6bf-e0cb92afc14c"]}],"mendeley":{"formattedCitation":"&lt;sup&gt;27&lt;/sup&gt;","plainTextFormattedCitation":"27","previouslyFormattedCitation":"&lt;sup&gt;26&lt;/sup&gt;"},"properties":{"noteIndex":0},"schema":"https://github.com/citation-style-language/schema/raw/master/csl-citation.json"}</w:instrText>
      </w:r>
      <w:r>
        <w:fldChar w:fldCharType="separate"/>
      </w:r>
      <w:r w:rsidRPr="008C02B1">
        <w:rPr>
          <w:noProof/>
          <w:vertAlign w:val="superscript"/>
        </w:rPr>
        <w:t>27</w:t>
      </w:r>
      <w:r>
        <w:fldChar w:fldCharType="end"/>
      </w:r>
      <w:r>
        <w:t xml:space="preserve">. A study trial in South Africa, showed that 9-valent pneumococcal conjugate vaccine prevents 31% of pneumonias associated with respiratory virus in children, corroborating the hypothesis that bacterial pathogens, such as </w:t>
      </w:r>
      <w:r w:rsidRPr="00D977EA">
        <w:rPr>
          <w:i/>
        </w:rPr>
        <w:t xml:space="preserve">Streptococcus </w:t>
      </w:r>
      <w:r>
        <w:rPr>
          <w:i/>
        </w:rPr>
        <w:t>pneumonia</w:t>
      </w:r>
      <w:r>
        <w:t>,</w:t>
      </w:r>
      <w:r>
        <w:rPr>
          <w:i/>
        </w:rPr>
        <w:t xml:space="preserve"> </w:t>
      </w:r>
      <w:r>
        <w:t>play a role in the development of pneumonia associated with respiratory viruses</w:t>
      </w:r>
      <w:r>
        <w:fldChar w:fldCharType="begin" w:fldLock="1"/>
      </w:r>
      <w:r>
        <w:instrText>ADDIN CSL_CITATION {"citationItems":[{"id":"ITEM-1","itemData":{"DOI":"10.1038/nm1077","ISSN":"1078-8956","abstract":"Here we show, in a double-blind, randomized, placebo-controlled trial in 37,107 fully immunized infants in Soweto, South Africa, that a 9-valent pneumococcal conjugate vaccine, PncCV, prevents 31% (95% confidence interval = 15-43%) of pneumonias associated with any of seven respiratory viruses in children in hospital. These data suggest that the pneumococcus has a major role in the development of pneumonia associated with these viruses and that viruses contribute to the pathogenesis of bacterial pneumonia.","author":[{"dropping-particle":"","family":"Madhi","given":"Shabir A","non-dropping-particle":"","parse-names":false,"suffix":""},{"dropping-particle":"","family":"Klugman","given":"Keith P","non-dropping-particle":"","parse-names":false,"suffix":""},{"dropping-particle":"","family":"The Vaccine Trialist Group","given":"","non-dropping-particle":"","parse-names":false,"suffix":""}],"container-title":"Nature Medicine","id":"ITEM-1","issue":"8","issued":{"date-parts":[["2004","8","11"]]},"page":"811-813","publisher":"Nature Publishing Group","title":"A role for Streptococcus pneumoniae in virus-associated pneumonia","type":"article-journal","volume":"10"},"uris":["http://www.mendeley.com/documents/?uuid=4e41dc54-2bf0-3fc2-8c69-af33708951c8"]}],"mendeley":{"formattedCitation":"&lt;sup&gt;28&lt;/sup&gt;","plainTextFormattedCitation":"28","previouslyFormattedCitation":"&lt;sup&gt;27&lt;/sup&gt;"},"properties":{"noteIndex":0},"schema":"https://github.com/citation-style-language/schema/raw/master/csl-citation.json"}</w:instrText>
      </w:r>
      <w:r>
        <w:fldChar w:fldCharType="separate"/>
      </w:r>
      <w:r w:rsidRPr="008C02B1">
        <w:rPr>
          <w:noProof/>
          <w:vertAlign w:val="superscript"/>
        </w:rPr>
        <w:t>28</w:t>
      </w:r>
      <w:r>
        <w:fldChar w:fldCharType="end"/>
      </w:r>
      <w:r>
        <w:t>.</w:t>
      </w:r>
      <w:r w:rsidRPr="00EB43E6">
        <w:t xml:space="preserve"> </w:t>
      </w:r>
      <w:r>
        <w:t xml:space="preserve">For viral bronchiolitis, a probability of acquiring bacterial pneumonia (by random chance) is applied in the model. </w:t>
      </w:r>
    </w:p>
    <w:p w14:paraId="3272C17E" w14:textId="77777777" w:rsidR="000979B2" w:rsidRPr="003D6D22" w:rsidRDefault="000979B2" w:rsidP="000979B2">
      <w:r>
        <w:t>The proportions of viral pneumonia and bronchiolitis in the ALRI incidence are simply obtained by calculating the ratio between the incidence of each disease and the incidence of ALRI per pathogen. In the RSV example, from the incidence of ALRI by RSV, 34.1% will be given the disease state ‘viral pneumonia’, and 65.1% will be ‘bronchiolitis’ in the property ri_ALRI_disease_type (see Table 4). A probability of co-infection or secondary bacterial pneumonia is then applied and the status of that property will be ‘bacterial pneumonia’, as in the model structure Primary/Secondary Bacterial Pneumonia.</w:t>
      </w:r>
    </w:p>
    <w:p w14:paraId="7775C487" w14:textId="77777777" w:rsidR="000979B2" w:rsidRDefault="000979B2" w:rsidP="000979B2">
      <w:pPr>
        <w:pStyle w:val="Heading4"/>
        <w:rPr>
          <w:shd w:val="clear" w:color="auto" w:fill="FFFFFF"/>
        </w:rPr>
      </w:pPr>
      <w:r>
        <w:rPr>
          <w:shd w:val="clear" w:color="auto" w:fill="FFFFFF"/>
        </w:rPr>
        <w:t xml:space="preserve">ALRI complications </w:t>
      </w:r>
    </w:p>
    <w:p w14:paraId="7C01735D" w14:textId="77777777" w:rsidR="000979B2" w:rsidRPr="00916CB4" w:rsidRDefault="000979B2" w:rsidP="000979B2">
      <w:r>
        <w:t xml:space="preserve">Depending on the site of infection, as well as, the type of the invasive pathogen, viral or bacterial cause, or co-infection, the host will deploy an array of </w:t>
      </w:r>
      <w:r>
        <w:rPr>
          <w:shd w:val="clear" w:color="auto" w:fill="FFFFFF"/>
        </w:rPr>
        <w:t xml:space="preserve">innate and acquired cellular and humoral </w:t>
      </w:r>
      <w:r w:rsidRPr="00594C50">
        <w:rPr>
          <w:shd w:val="clear" w:color="auto" w:fill="FFFFFF"/>
        </w:rPr>
        <w:t>defences</w:t>
      </w:r>
      <w:r w:rsidRPr="00594C50">
        <w:rPr>
          <w:shd w:val="clear" w:color="auto" w:fill="FFFFFF"/>
        </w:rPr>
        <w:fldChar w:fldCharType="begin" w:fldLock="1"/>
      </w:r>
      <w:r>
        <w:rPr>
          <w:shd w:val="clear" w:color="auto" w:fill="FFFFFF"/>
        </w:rPr>
        <w:instrText>ADDIN CSL_CITATION {"citationItems":[{"id":"ITEM-1","itemData":{"DOI":"10.1146/annurev-micro-091014-104209","ISSN":"0066-4227","abstract":"Copyright ©2015 by Annual Reviews. All rights reserved. Respiratory tract infections are an important cause of morbidity and mortality worldwide. Chief among these are infections involving the lower airways. The opportunistic bacterial pathogens responsible for most cases of pneumonia can cause a range of local and invasive infections. However, bacterial colonization (or carriage) in the upper airway is the prerequisite of all these infections. Successful colonizers must attach to the epithelial lining, grow on the nutrient-limited mucosal surface, evade the host immune response, and transmit to a susceptible host. Here, we review the molecular mechanisms underlying these conserved stages of carriage. We also examine how the demands of colonization influence progression to disease. A range of bacteria can colonize the upper airway; nevertheless, we focus on strategies shared by many respiratory tract opportunistic pathogens. Understanding colonization opens a window to the evolutionary pressures these pathogens face within their animal hosts and that have selected for attributes that contribute to virulence and pathogenesis. ©","author":[{"dropping-particle":"","family":"Siegel","given":"Steven J.","non-dropping-particle":"","parse-names":false,"suffix":""},{"dropping-particle":"","family":"Weiser","given":"Jeffrey N.","non-dropping-particle":"","parse-names":false,"suffix":""}],"container-title":"Annual Review of Microbiology","id":"ITEM-1","issue":"1","issued":{"date-parts":[["2015","10","15"]]},"page":"425-444","publisher":"Annual Reviews","title":"Mechanisms of Bacterial Colonization of the Respiratory Tract","type":"article-journal","volume":"69"},"uris":["http://www.mendeley.com/documents/?uuid=8c0b6047-89bb-4b6c-b85e-d650d9444667"]}],"mendeley":{"formattedCitation":"&lt;sup&gt;29&lt;/sup&gt;","plainTextFormattedCitation":"29","previouslyFormattedCitation":"&lt;sup&gt;28&lt;/sup&gt;"},"properties":{"noteIndex":0},"schema":"https://github.com/citation-style-language/schema/raw/master/csl-citation.json"}</w:instrText>
      </w:r>
      <w:r w:rsidRPr="00594C50">
        <w:rPr>
          <w:shd w:val="clear" w:color="auto" w:fill="FFFFFF"/>
        </w:rPr>
        <w:fldChar w:fldCharType="separate"/>
      </w:r>
      <w:r w:rsidRPr="008C02B1">
        <w:rPr>
          <w:noProof/>
          <w:shd w:val="clear" w:color="auto" w:fill="FFFFFF"/>
          <w:vertAlign w:val="superscript"/>
        </w:rPr>
        <w:t>29</w:t>
      </w:r>
      <w:r w:rsidRPr="00594C50">
        <w:rPr>
          <w:shd w:val="clear" w:color="auto" w:fill="FFFFFF"/>
        </w:rPr>
        <w:fldChar w:fldCharType="end"/>
      </w:r>
      <w:r>
        <w:rPr>
          <w:shd w:val="clear" w:color="auto" w:fill="FFFFFF"/>
        </w:rPr>
        <w:t>,</w:t>
      </w:r>
      <w:r>
        <w:t xml:space="preserve"> and a range of disease-associated symptoms and complications may arise.</w:t>
      </w:r>
    </w:p>
    <w:p w14:paraId="5EB3AE98" w14:textId="77777777" w:rsidR="000979B2" w:rsidRDefault="000979B2" w:rsidP="000979B2">
      <w:r>
        <w:rPr>
          <w:shd w:val="clear" w:color="auto" w:fill="FFFFFF"/>
        </w:rPr>
        <w:t xml:space="preserve">Complications arising from ALRI </w:t>
      </w:r>
      <w:r>
        <w:t xml:space="preserve">include those that occur locally in the pulmonary system, systemically if the infection gets into the blood stream or trigger an excessive immune response, and complications related to oxygen exchange. The complications included in the model (Table 5) are the most common ones arising from pneumonia and bronchiolitis, for which the management is included in the WHO </w:t>
      </w:r>
      <w:r>
        <w:lastRenderedPageBreak/>
        <w:t>guidelines of hospital inpatient care for children</w:t>
      </w:r>
      <w:r>
        <w:fldChar w:fldCharType="begin" w:fldLock="1"/>
      </w:r>
      <w:r>
        <w:instrText>ADDIN CSL_CITATION {"citationItems":[{"id":"ITEM-1","itemData":{"ISBN":"9789241548373","id":"ITEM-1","issued":{"date-parts":[["0"]]},"title":"HOSPITAL CARE FOR CHILDREN WHO ISBN 978 92 4 154837 3","type":"book"},"uris":["http://www.mendeley.com/documents/?uuid=9006a514-e730-30a4-af0c-d544ca39623a"]}],"mendeley":{"formattedCitation":"&lt;sup&gt;30&lt;/sup&gt;","plainTextFormattedCitation":"30","previouslyFormattedCitation":"&lt;sup&gt;29&lt;/sup&gt;"},"properties":{"noteIndex":0},"schema":"https://github.com/citation-style-language/schema/raw/master/csl-citation.json"}</w:instrText>
      </w:r>
      <w:r>
        <w:fldChar w:fldCharType="separate"/>
      </w:r>
      <w:r w:rsidRPr="008C02B1">
        <w:rPr>
          <w:noProof/>
          <w:vertAlign w:val="superscript"/>
        </w:rPr>
        <w:t>30</w:t>
      </w:r>
      <w:r>
        <w:fldChar w:fldCharType="end"/>
      </w:r>
      <w:r>
        <w:t>. Generally, complications are more common in bacterial pneumonia than atypical or viral pneumonia.</w:t>
      </w:r>
      <w:r w:rsidRPr="0065581B">
        <w:t xml:space="preserve"> </w:t>
      </w:r>
      <w:r>
        <w:t xml:space="preserve">Complications are more likely to occur in neonates and at younger age, low birth weight, premature infants, patients with underlying heart or lung conditions, and impaired immune system, such as, children with untreated </w:t>
      </w:r>
      <w:r w:rsidRPr="0097034B">
        <w:t xml:space="preserve">HIV </w:t>
      </w:r>
      <w:r>
        <w:t>infection</w:t>
      </w:r>
      <w:r w:rsidRPr="0097034B">
        <w:t xml:space="preserve">, </w:t>
      </w:r>
      <w:r>
        <w:t xml:space="preserve">and malnutrition. </w:t>
      </w:r>
    </w:p>
    <w:p w14:paraId="2E3DE825" w14:textId="4262BAC8" w:rsidR="000979B2" w:rsidRDefault="000979B2" w:rsidP="000979B2">
      <w:pPr>
        <w:pStyle w:val="Caption"/>
      </w:pPr>
      <w:r>
        <w:t xml:space="preserve">Table </w:t>
      </w:r>
      <w:r w:rsidR="00E018E1">
        <w:fldChar w:fldCharType="begin"/>
      </w:r>
      <w:r w:rsidR="00E018E1">
        <w:instrText xml:space="preserve"> SEQ</w:instrText>
      </w:r>
      <w:r w:rsidR="00E018E1">
        <w:instrText xml:space="preserve"> Table \* ARABIC </w:instrText>
      </w:r>
      <w:r w:rsidR="00E018E1">
        <w:fldChar w:fldCharType="separate"/>
      </w:r>
      <w:r>
        <w:rPr>
          <w:noProof/>
        </w:rPr>
        <w:t>6</w:t>
      </w:r>
      <w:r w:rsidR="00E018E1">
        <w:rPr>
          <w:noProof/>
        </w:rPr>
        <w:fldChar w:fldCharType="end"/>
      </w:r>
      <w:r>
        <w:t xml:space="preserve"> - Complications included in the </w:t>
      </w:r>
      <w:r w:rsidRPr="001F3DA1">
        <w:t>ALRI</w:t>
      </w:r>
      <w:r>
        <w:t xml:space="preserve"> </w:t>
      </w:r>
      <w:r w:rsidRPr="001F3DA1">
        <w:t>structure</w:t>
      </w:r>
    </w:p>
    <w:tbl>
      <w:tblPr>
        <w:tblStyle w:val="GridTable1Light"/>
        <w:tblW w:w="0" w:type="auto"/>
        <w:tblInd w:w="-5" w:type="dxa"/>
        <w:tblLook w:val="04A0" w:firstRow="1" w:lastRow="0" w:firstColumn="1" w:lastColumn="0" w:noHBand="0" w:noVBand="1"/>
      </w:tblPr>
      <w:tblGrid>
        <w:gridCol w:w="1843"/>
        <w:gridCol w:w="7884"/>
      </w:tblGrid>
      <w:tr w:rsidR="000979B2" w14:paraId="72BA951F" w14:textId="77777777" w:rsidTr="00097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double" w:sz="4" w:space="0" w:color="000000"/>
              <w:left w:val="double" w:sz="4" w:space="0" w:color="000000"/>
              <w:right w:val="double" w:sz="4" w:space="0" w:color="000000"/>
            </w:tcBorders>
          </w:tcPr>
          <w:p w14:paraId="17FF8EA3" w14:textId="77777777" w:rsidR="000979B2" w:rsidRDefault="000979B2" w:rsidP="000979B2">
            <w:pPr>
              <w:pStyle w:val="NoSpacing"/>
            </w:pPr>
            <w:r>
              <w:t xml:space="preserve">Complications </w:t>
            </w:r>
          </w:p>
        </w:tc>
        <w:tc>
          <w:tcPr>
            <w:tcW w:w="7884" w:type="dxa"/>
            <w:tcBorders>
              <w:top w:val="double" w:sz="4" w:space="0" w:color="auto"/>
              <w:left w:val="double" w:sz="4" w:space="0" w:color="000000"/>
              <w:right w:val="double" w:sz="4" w:space="0" w:color="000000"/>
            </w:tcBorders>
          </w:tcPr>
          <w:p w14:paraId="420FC9B9" w14:textId="77777777" w:rsidR="000979B2" w:rsidRDefault="000979B2" w:rsidP="000979B2">
            <w:pPr>
              <w:pStyle w:val="NoSpacing"/>
              <w:cnfStyle w:val="100000000000" w:firstRow="1" w:lastRow="0" w:firstColumn="0" w:lastColumn="0" w:oddVBand="0" w:evenVBand="0" w:oddHBand="0" w:evenHBand="0" w:firstRowFirstColumn="0" w:firstRowLastColumn="0" w:lastRowFirstColumn="0" w:lastRowLastColumn="0"/>
            </w:pPr>
            <w:r>
              <w:t>Definitions</w:t>
            </w:r>
          </w:p>
        </w:tc>
      </w:tr>
      <w:tr w:rsidR="000979B2" w14:paraId="3BE23BDF" w14:textId="77777777" w:rsidTr="000979B2">
        <w:tc>
          <w:tcPr>
            <w:cnfStyle w:val="001000000000" w:firstRow="0" w:lastRow="0" w:firstColumn="1" w:lastColumn="0" w:oddVBand="0" w:evenVBand="0" w:oddHBand="0" w:evenHBand="0" w:firstRowFirstColumn="0" w:firstRowLastColumn="0" w:lastRowFirstColumn="0" w:lastRowLastColumn="0"/>
            <w:tcW w:w="1843" w:type="dxa"/>
            <w:shd w:val="clear" w:color="auto" w:fill="F7CAAC" w:themeFill="accent2" w:themeFillTint="66"/>
          </w:tcPr>
          <w:p w14:paraId="7AF7BB12" w14:textId="77777777" w:rsidR="000979B2" w:rsidRPr="00A91C5A" w:rsidRDefault="000979B2" w:rsidP="000979B2">
            <w:pPr>
              <w:pStyle w:val="NoSpacing"/>
              <w:rPr>
                <w:b w:val="0"/>
              </w:rPr>
            </w:pPr>
            <w:r w:rsidRPr="00A91C5A">
              <w:rPr>
                <w:b w:val="0"/>
              </w:rPr>
              <w:t>Hypoxaemic Respiratory failure</w:t>
            </w:r>
          </w:p>
        </w:tc>
        <w:tc>
          <w:tcPr>
            <w:tcW w:w="7884" w:type="dxa"/>
          </w:tcPr>
          <w:p w14:paraId="0CD0A8A3" w14:textId="77777777" w:rsidR="000979B2" w:rsidRDefault="000979B2" w:rsidP="000979B2">
            <w:pPr>
              <w:pStyle w:val="NoSpacing"/>
              <w:cnfStyle w:val="000000000000" w:firstRow="0" w:lastRow="0" w:firstColumn="0" w:lastColumn="0" w:oddVBand="0" w:evenVBand="0" w:oddHBand="0" w:evenHBand="0" w:firstRowFirstColumn="0" w:firstRowLastColumn="0" w:lastRowFirstColumn="0" w:lastRowLastColumn="0"/>
            </w:pPr>
            <w:r>
              <w:t xml:space="preserve">respiratory failure type I, hypoxia, is </w:t>
            </w:r>
            <w:r w:rsidRPr="000B5C49">
              <w:t>a</w:t>
            </w:r>
            <w:r w:rsidRPr="000B5C49">
              <w:rPr>
                <w:rFonts w:cstheme="minorHAnsi"/>
                <w:color w:val="000000"/>
                <w:szCs w:val="21"/>
                <w:shd w:val="clear" w:color="auto" w:fill="FFFFFF"/>
              </w:rPr>
              <w:t xml:space="preserve"> life-threatening impairment of oxygenation, in which the level of oxygen in the blood becomes dangerously low</w:t>
            </w:r>
            <w:r w:rsidRPr="000B5C49">
              <w:rPr>
                <w:rFonts w:cstheme="minorHAnsi"/>
                <w:szCs w:val="21"/>
              </w:rPr>
              <w:t>(ICD-11)</w:t>
            </w:r>
            <w:r w:rsidRPr="000B5C49">
              <w:rPr>
                <w:rFonts w:cstheme="minorHAnsi"/>
                <w:color w:val="000000"/>
                <w:szCs w:val="21"/>
                <w:shd w:val="clear" w:color="auto" w:fill="FFFFFF"/>
              </w:rPr>
              <w:fldChar w:fldCharType="begin" w:fldLock="1"/>
            </w:r>
            <w:r>
              <w:rPr>
                <w:rFonts w:cstheme="minorHAnsi"/>
                <w:color w:val="000000"/>
                <w:szCs w:val="21"/>
                <w:shd w:val="clear" w:color="auto" w:fill="FFFFFF"/>
              </w:rPr>
              <w:instrText>ADDIN CSL_CITATION {"citationItems":[{"id":"ITEM-1","itemData":{"URL":"https://icd.who.int/browse11/l-m/en","accessed":{"date-parts":[["2020","5","24"]]},"id":"ITEM-1","issued":{"date-parts":[["0"]]},"title":"ICD-11 - Mortality and Morbidity Statistics","type":"webpage"},"uris":["http://www.mendeley.com/documents/?uuid=ab40c3d8-06bb-467a-8d0a-f68ae5b88946"]}],"mendeley":{"formattedCitation":"&lt;sup&gt;31&lt;/sup&gt;","plainTextFormattedCitation":"31","previouslyFormattedCitation":"&lt;sup&gt;30&lt;/sup&gt;"},"properties":{"noteIndex":0},"schema":"https://github.com/citation-style-language/schema/raw/master/csl-citation.json"}</w:instrText>
            </w:r>
            <w:r w:rsidRPr="000B5C49">
              <w:rPr>
                <w:rFonts w:cstheme="minorHAnsi"/>
                <w:color w:val="000000"/>
                <w:szCs w:val="21"/>
                <w:shd w:val="clear" w:color="auto" w:fill="FFFFFF"/>
              </w:rPr>
              <w:fldChar w:fldCharType="separate"/>
            </w:r>
            <w:r w:rsidRPr="008C02B1">
              <w:rPr>
                <w:rFonts w:cstheme="minorHAnsi"/>
                <w:noProof/>
                <w:color w:val="000000"/>
                <w:szCs w:val="21"/>
                <w:shd w:val="clear" w:color="auto" w:fill="FFFFFF"/>
                <w:vertAlign w:val="superscript"/>
              </w:rPr>
              <w:t>31</w:t>
            </w:r>
            <w:r w:rsidRPr="000B5C49">
              <w:rPr>
                <w:rFonts w:cstheme="minorHAnsi"/>
                <w:color w:val="000000"/>
                <w:szCs w:val="21"/>
                <w:shd w:val="clear" w:color="auto" w:fill="FFFFFF"/>
              </w:rPr>
              <w:fldChar w:fldCharType="end"/>
            </w:r>
            <w:r>
              <w:rPr>
                <w:rFonts w:cstheme="minorHAnsi"/>
                <w:color w:val="000000"/>
                <w:szCs w:val="21"/>
                <w:shd w:val="clear" w:color="auto" w:fill="FFFFFF"/>
              </w:rPr>
              <w:t>. Signs</w:t>
            </w:r>
            <w:r>
              <w:rPr>
                <w:rFonts w:cstheme="minorHAnsi"/>
                <w:szCs w:val="21"/>
              </w:rPr>
              <w:t xml:space="preserve"> of respiratory failure include increasing hypoxia and respiratory distress leading to exhaustion</w:t>
            </w:r>
            <w:r>
              <w:rPr>
                <w:rFonts w:cstheme="minorHAnsi"/>
                <w:szCs w:val="21"/>
              </w:rPr>
              <w:fldChar w:fldCharType="begin" w:fldLock="1"/>
            </w:r>
            <w:r>
              <w:rPr>
                <w:rFonts w:cstheme="minorHAnsi"/>
                <w:szCs w:val="21"/>
              </w:rPr>
              <w:instrText>ADDIN CSL_CITATION {"citationItems":[{"id":"ITEM-1","itemData":{"ISBN":"9789241548373","id":"ITEM-1","issued":{"date-parts":[["0"]]},"title":"HOSPITAL CARE FOR CHILDREN WHO ISBN 978 92 4 154837 3","type":"book"},"uris":["http://www.mendeley.com/documents/?uuid=9006a514-e730-30a4-af0c-d544ca39623a"]}],"mendeley":{"formattedCitation":"&lt;sup&gt;30&lt;/sup&gt;","plainTextFormattedCitation":"30","previouslyFormattedCitation":"&lt;sup&gt;29&lt;/sup&gt;"},"properties":{"noteIndex":0},"schema":"https://github.com/citation-style-language/schema/raw/master/csl-citation.json"}</w:instrText>
            </w:r>
            <w:r>
              <w:rPr>
                <w:rFonts w:cstheme="minorHAnsi"/>
                <w:szCs w:val="21"/>
              </w:rPr>
              <w:fldChar w:fldCharType="separate"/>
            </w:r>
            <w:r w:rsidRPr="008C02B1">
              <w:rPr>
                <w:rFonts w:cstheme="minorHAnsi"/>
                <w:noProof/>
                <w:szCs w:val="21"/>
                <w:vertAlign w:val="superscript"/>
              </w:rPr>
              <w:t>30</w:t>
            </w:r>
            <w:r>
              <w:rPr>
                <w:rFonts w:cstheme="minorHAnsi"/>
                <w:szCs w:val="21"/>
              </w:rPr>
              <w:fldChar w:fldCharType="end"/>
            </w:r>
            <w:r>
              <w:rPr>
                <w:rFonts w:cstheme="minorHAnsi"/>
                <w:szCs w:val="21"/>
              </w:rPr>
              <w:t>.</w:t>
            </w:r>
          </w:p>
        </w:tc>
      </w:tr>
      <w:tr w:rsidR="000979B2" w14:paraId="5395830A" w14:textId="77777777" w:rsidTr="000979B2">
        <w:tc>
          <w:tcPr>
            <w:cnfStyle w:val="001000000000" w:firstRow="0" w:lastRow="0" w:firstColumn="1" w:lastColumn="0" w:oddVBand="0" w:evenVBand="0" w:oddHBand="0" w:evenHBand="0" w:firstRowFirstColumn="0" w:firstRowLastColumn="0" w:lastRowFirstColumn="0" w:lastRowLastColumn="0"/>
            <w:tcW w:w="1843" w:type="dxa"/>
            <w:shd w:val="clear" w:color="auto" w:fill="D9E2F3" w:themeFill="accent5" w:themeFillTint="33"/>
          </w:tcPr>
          <w:p w14:paraId="711FBEDD" w14:textId="77777777" w:rsidR="000979B2" w:rsidRPr="00A91C5A" w:rsidRDefault="000979B2" w:rsidP="000979B2">
            <w:pPr>
              <w:pStyle w:val="NoSpacing"/>
              <w:rPr>
                <w:b w:val="0"/>
              </w:rPr>
            </w:pPr>
            <w:r w:rsidRPr="00A91C5A">
              <w:rPr>
                <w:b w:val="0"/>
              </w:rPr>
              <w:t>Pleural effusion</w:t>
            </w:r>
          </w:p>
        </w:tc>
        <w:tc>
          <w:tcPr>
            <w:tcW w:w="7884" w:type="dxa"/>
          </w:tcPr>
          <w:p w14:paraId="69EA10DB" w14:textId="77777777" w:rsidR="000979B2" w:rsidRDefault="000979B2" w:rsidP="000979B2">
            <w:pPr>
              <w:pStyle w:val="NoSpacing"/>
              <w:cnfStyle w:val="000000000000" w:firstRow="0" w:lastRow="0" w:firstColumn="0" w:lastColumn="0" w:oddVBand="0" w:evenVBand="0" w:oddHBand="0" w:evenHBand="0" w:firstRowFirstColumn="0" w:firstRowLastColumn="0" w:lastRowFirstColumn="0" w:lastRowLastColumn="0"/>
            </w:pPr>
            <w:r>
              <w:rPr>
                <w:rFonts w:cstheme="minorHAnsi"/>
                <w:szCs w:val="21"/>
              </w:rPr>
              <w:t>the presence of fluid in the pleural cavity resulting from excessive transudation or exudation from the pleural surfaces (ICD-11)</w:t>
            </w:r>
            <w:r>
              <w:rPr>
                <w:rFonts w:cstheme="minorHAnsi"/>
                <w:szCs w:val="21"/>
              </w:rPr>
              <w:fldChar w:fldCharType="begin" w:fldLock="1"/>
            </w:r>
            <w:r>
              <w:rPr>
                <w:rFonts w:cstheme="minorHAnsi"/>
                <w:szCs w:val="21"/>
              </w:rPr>
              <w:instrText>ADDIN CSL_CITATION {"citationItems":[{"id":"ITEM-1","itemData":{"URL":"https://icd.who.int/browse11/l-m/en","accessed":{"date-parts":[["2020","5","24"]]},"id":"ITEM-1","issued":{"date-parts":[["0"]]},"title":"ICD-11 - Mortality and Morbidity Statistics","type":"webpage"},"uris":["http://www.mendeley.com/documents/?uuid=ab40c3d8-06bb-467a-8d0a-f68ae5b88946"]}],"mendeley":{"formattedCitation":"&lt;sup&gt;31&lt;/sup&gt;","plainTextFormattedCitation":"31","previouslyFormattedCitation":"&lt;sup&gt;30&lt;/sup&gt;"},"properties":{"noteIndex":0},"schema":"https://github.com/citation-style-language/schema/raw/master/csl-citation.json"}</w:instrText>
            </w:r>
            <w:r>
              <w:rPr>
                <w:rFonts w:cstheme="minorHAnsi"/>
                <w:szCs w:val="21"/>
              </w:rPr>
              <w:fldChar w:fldCharType="separate"/>
            </w:r>
            <w:r w:rsidRPr="008C02B1">
              <w:rPr>
                <w:rFonts w:cstheme="minorHAnsi"/>
                <w:noProof/>
                <w:szCs w:val="21"/>
                <w:vertAlign w:val="superscript"/>
              </w:rPr>
              <w:t>31</w:t>
            </w:r>
            <w:r>
              <w:rPr>
                <w:rFonts w:cstheme="minorHAnsi"/>
                <w:szCs w:val="21"/>
              </w:rPr>
              <w:fldChar w:fldCharType="end"/>
            </w:r>
          </w:p>
        </w:tc>
      </w:tr>
      <w:tr w:rsidR="000979B2" w14:paraId="0DFA4947" w14:textId="77777777" w:rsidTr="000979B2">
        <w:tc>
          <w:tcPr>
            <w:cnfStyle w:val="001000000000" w:firstRow="0" w:lastRow="0" w:firstColumn="1" w:lastColumn="0" w:oddVBand="0" w:evenVBand="0" w:oddHBand="0" w:evenHBand="0" w:firstRowFirstColumn="0" w:firstRowLastColumn="0" w:lastRowFirstColumn="0" w:lastRowLastColumn="0"/>
            <w:tcW w:w="1843" w:type="dxa"/>
            <w:shd w:val="clear" w:color="auto" w:fill="D9E2F3" w:themeFill="accent5" w:themeFillTint="33"/>
          </w:tcPr>
          <w:p w14:paraId="29D0FC89" w14:textId="77777777" w:rsidR="000979B2" w:rsidRPr="00A91C5A" w:rsidRDefault="000979B2" w:rsidP="000979B2">
            <w:pPr>
              <w:pStyle w:val="NoSpacing"/>
              <w:rPr>
                <w:b w:val="0"/>
              </w:rPr>
            </w:pPr>
            <w:r w:rsidRPr="00A91C5A">
              <w:rPr>
                <w:b w:val="0"/>
              </w:rPr>
              <w:t>Empyema</w:t>
            </w:r>
          </w:p>
        </w:tc>
        <w:tc>
          <w:tcPr>
            <w:tcW w:w="7884" w:type="dxa"/>
          </w:tcPr>
          <w:p w14:paraId="5174EECF" w14:textId="77777777" w:rsidR="000979B2" w:rsidRPr="008B6BBF" w:rsidRDefault="000979B2" w:rsidP="000979B2">
            <w:pPr>
              <w:pStyle w:val="NoSpacing"/>
              <w:cnfStyle w:val="000000000000" w:firstRow="0" w:lastRow="0" w:firstColumn="0" w:lastColumn="0" w:oddVBand="0" w:evenVBand="0" w:oddHBand="0" w:evenHBand="0" w:firstRowFirstColumn="0" w:firstRowLastColumn="0" w:lastRowFirstColumn="0" w:lastRowLastColumn="0"/>
            </w:pPr>
            <w:r>
              <w:t>s</w:t>
            </w:r>
            <w:r w:rsidRPr="008B6BBF">
              <w:t xml:space="preserve">uppurative inflammation of the pleural space, typically due to acute bacterial infection </w:t>
            </w:r>
            <w:r>
              <w:rPr>
                <w:rFonts w:cstheme="minorHAnsi"/>
                <w:szCs w:val="21"/>
              </w:rPr>
              <w:t>(ICD-11)</w:t>
            </w:r>
            <w:r>
              <w:rPr>
                <w:rFonts w:cstheme="minorHAnsi"/>
                <w:szCs w:val="21"/>
              </w:rPr>
              <w:fldChar w:fldCharType="begin" w:fldLock="1"/>
            </w:r>
            <w:r>
              <w:rPr>
                <w:rFonts w:cstheme="minorHAnsi"/>
                <w:szCs w:val="21"/>
              </w:rPr>
              <w:instrText>ADDIN CSL_CITATION {"citationItems":[{"id":"ITEM-1","itemData":{"URL":"https://icd.who.int/browse11/l-m/en","accessed":{"date-parts":[["2020","5","24"]]},"id":"ITEM-1","issued":{"date-parts":[["0"]]},"title":"ICD-11 - Mortality and Morbidity Statistics","type":"webpage"},"uris":["http://www.mendeley.com/documents/?uuid=ab40c3d8-06bb-467a-8d0a-f68ae5b88946"]}],"mendeley":{"formattedCitation":"&lt;sup&gt;31&lt;/sup&gt;","plainTextFormattedCitation":"31","previouslyFormattedCitation":"&lt;sup&gt;30&lt;/sup&gt;"},"properties":{"noteIndex":0},"schema":"https://github.com/citation-style-language/schema/raw/master/csl-citation.json"}</w:instrText>
            </w:r>
            <w:r>
              <w:rPr>
                <w:rFonts w:cstheme="minorHAnsi"/>
                <w:szCs w:val="21"/>
              </w:rPr>
              <w:fldChar w:fldCharType="separate"/>
            </w:r>
            <w:r w:rsidRPr="008C02B1">
              <w:rPr>
                <w:rFonts w:cstheme="minorHAnsi"/>
                <w:noProof/>
                <w:szCs w:val="21"/>
                <w:vertAlign w:val="superscript"/>
              </w:rPr>
              <w:t>31</w:t>
            </w:r>
            <w:r>
              <w:rPr>
                <w:rFonts w:cstheme="minorHAnsi"/>
                <w:szCs w:val="21"/>
              </w:rPr>
              <w:fldChar w:fldCharType="end"/>
            </w:r>
          </w:p>
        </w:tc>
      </w:tr>
      <w:tr w:rsidR="000979B2" w14:paraId="37F184F6" w14:textId="77777777" w:rsidTr="000979B2">
        <w:tc>
          <w:tcPr>
            <w:cnfStyle w:val="001000000000" w:firstRow="0" w:lastRow="0" w:firstColumn="1" w:lastColumn="0" w:oddVBand="0" w:evenVBand="0" w:oddHBand="0" w:evenHBand="0" w:firstRowFirstColumn="0" w:firstRowLastColumn="0" w:lastRowFirstColumn="0" w:lastRowLastColumn="0"/>
            <w:tcW w:w="1843" w:type="dxa"/>
            <w:shd w:val="clear" w:color="auto" w:fill="D9E2F3" w:themeFill="accent5" w:themeFillTint="33"/>
          </w:tcPr>
          <w:p w14:paraId="55D9E69C" w14:textId="77777777" w:rsidR="000979B2" w:rsidRPr="00A91C5A" w:rsidRDefault="000979B2" w:rsidP="000979B2">
            <w:pPr>
              <w:pStyle w:val="NoSpacing"/>
              <w:rPr>
                <w:b w:val="0"/>
              </w:rPr>
            </w:pPr>
            <w:r w:rsidRPr="00A91C5A">
              <w:rPr>
                <w:b w:val="0"/>
              </w:rPr>
              <w:t>Lung abscess</w:t>
            </w:r>
          </w:p>
        </w:tc>
        <w:tc>
          <w:tcPr>
            <w:tcW w:w="7884" w:type="dxa"/>
          </w:tcPr>
          <w:p w14:paraId="2370C2E5" w14:textId="77777777" w:rsidR="000979B2" w:rsidRDefault="000979B2" w:rsidP="000979B2">
            <w:pPr>
              <w:pStyle w:val="NoSpacing"/>
              <w:cnfStyle w:val="000000000000" w:firstRow="0" w:lastRow="0" w:firstColumn="0" w:lastColumn="0" w:oddVBand="0" w:evenVBand="0" w:oddHBand="0" w:evenHBand="0" w:firstRowFirstColumn="0" w:firstRowLastColumn="0" w:lastRowFirstColumn="0" w:lastRowLastColumn="0"/>
            </w:pPr>
            <w:r>
              <w:rPr>
                <w:rFonts w:cstheme="minorHAnsi"/>
                <w:szCs w:val="21"/>
              </w:rPr>
              <w:t>caused by bacteria, a thick-walled cavity in the lung that contains purulent material resulting from suppuration and necrosis of the involved lung parenchyma</w:t>
            </w:r>
            <w:r>
              <w:rPr>
                <w:rFonts w:cstheme="minorHAnsi"/>
                <w:szCs w:val="21"/>
              </w:rPr>
              <w:fldChar w:fldCharType="begin" w:fldLock="1"/>
            </w:r>
            <w:r>
              <w:rPr>
                <w:rFonts w:cstheme="minorHAnsi"/>
                <w:szCs w:val="21"/>
              </w:rPr>
              <w:instrText>ADDIN CSL_CITATION {"citationItems":[{"id":"ITEM-1","itemData":{"ISBN":"9789241548373","id":"ITEM-1","issued":{"date-parts":[["0"]]},"title":"HOSPITAL CARE FOR CHILDREN WHO ISBN 978 92 4 154837 3","type":"book"},"uris":["http://www.mendeley.com/documents/?uuid=9006a514-e730-30a4-af0c-d544ca39623a"]}],"mendeley":{"formattedCitation":"&lt;sup&gt;30&lt;/sup&gt;","plainTextFormattedCitation":"30","previouslyFormattedCitation":"&lt;sup&gt;29&lt;/sup&gt;"},"properties":{"noteIndex":0},"schema":"https://github.com/citation-style-language/schema/raw/master/csl-citation.json"}</w:instrText>
            </w:r>
            <w:r>
              <w:rPr>
                <w:rFonts w:cstheme="minorHAnsi"/>
                <w:szCs w:val="21"/>
              </w:rPr>
              <w:fldChar w:fldCharType="separate"/>
            </w:r>
            <w:r w:rsidRPr="008C02B1">
              <w:rPr>
                <w:rFonts w:cstheme="minorHAnsi"/>
                <w:noProof/>
                <w:szCs w:val="21"/>
                <w:vertAlign w:val="superscript"/>
              </w:rPr>
              <w:t>30</w:t>
            </w:r>
            <w:r>
              <w:rPr>
                <w:rFonts w:cstheme="minorHAnsi"/>
                <w:szCs w:val="21"/>
              </w:rPr>
              <w:fldChar w:fldCharType="end"/>
            </w:r>
          </w:p>
        </w:tc>
      </w:tr>
      <w:tr w:rsidR="000979B2" w14:paraId="18D59DFA" w14:textId="77777777" w:rsidTr="000979B2">
        <w:tc>
          <w:tcPr>
            <w:cnfStyle w:val="001000000000" w:firstRow="0" w:lastRow="0" w:firstColumn="1" w:lastColumn="0" w:oddVBand="0" w:evenVBand="0" w:oddHBand="0" w:evenHBand="0" w:firstRowFirstColumn="0" w:firstRowLastColumn="0" w:lastRowFirstColumn="0" w:lastRowLastColumn="0"/>
            <w:tcW w:w="1843" w:type="dxa"/>
            <w:shd w:val="clear" w:color="auto" w:fill="D9E2F3" w:themeFill="accent5" w:themeFillTint="33"/>
          </w:tcPr>
          <w:p w14:paraId="4786ACEE" w14:textId="77777777" w:rsidR="000979B2" w:rsidRPr="00A91C5A" w:rsidRDefault="000979B2" w:rsidP="000979B2">
            <w:pPr>
              <w:pStyle w:val="NoSpacing"/>
              <w:rPr>
                <w:b w:val="0"/>
              </w:rPr>
            </w:pPr>
            <w:r w:rsidRPr="00A91C5A">
              <w:rPr>
                <w:b w:val="0"/>
              </w:rPr>
              <w:t>Pneumothorax</w:t>
            </w:r>
          </w:p>
        </w:tc>
        <w:tc>
          <w:tcPr>
            <w:tcW w:w="7884" w:type="dxa"/>
          </w:tcPr>
          <w:p w14:paraId="14A4FEF4" w14:textId="77777777" w:rsidR="000979B2" w:rsidRDefault="000979B2" w:rsidP="000979B2">
            <w:pPr>
              <w:pStyle w:val="NoSpacing"/>
              <w:cnfStyle w:val="000000000000" w:firstRow="0" w:lastRow="0" w:firstColumn="0" w:lastColumn="0" w:oddVBand="0" w:evenVBand="0" w:oddHBand="0" w:evenHBand="0" w:firstRowFirstColumn="0" w:firstRowLastColumn="0" w:lastRowFirstColumn="0" w:lastRowLastColumn="0"/>
            </w:pPr>
            <w:r>
              <w:t>usually secondary to an accumulation of air in the pleural spaces from alveolar rupture, causing partial or complete lung collapse</w:t>
            </w:r>
            <w:r>
              <w:fldChar w:fldCharType="begin" w:fldLock="1"/>
            </w:r>
            <w:r>
              <w:instrText>ADDIN CSL_CITATION {"citationItems":[{"id":"ITEM-1","itemData":{"ISBN":"9789241548373","id":"ITEM-1","issued":{"date-parts":[["0"]]},"title":"HOSPITAL CARE FOR CHILDREN WHO ISBN 978 92 4 154837 3","type":"book"},"uris":["http://www.mendeley.com/documents/?uuid=9006a514-e730-30a4-af0c-d544ca39623a"]}],"mendeley":{"formattedCitation":"&lt;sup&gt;30&lt;/sup&gt;","plainTextFormattedCitation":"30","previouslyFormattedCitation":"&lt;sup&gt;29&lt;/sup&gt;"},"properties":{"noteIndex":0},"schema":"https://github.com/citation-style-language/schema/raw/master/csl-citation.json"}</w:instrText>
            </w:r>
            <w:r>
              <w:fldChar w:fldCharType="separate"/>
            </w:r>
            <w:r w:rsidRPr="008C02B1">
              <w:rPr>
                <w:noProof/>
                <w:vertAlign w:val="superscript"/>
              </w:rPr>
              <w:t>30</w:t>
            </w:r>
            <w:r>
              <w:fldChar w:fldCharType="end"/>
            </w:r>
            <w:r>
              <w:t>;</w:t>
            </w:r>
          </w:p>
        </w:tc>
      </w:tr>
      <w:tr w:rsidR="000979B2" w14:paraId="4EF963EB" w14:textId="77777777" w:rsidTr="000979B2">
        <w:tc>
          <w:tcPr>
            <w:cnfStyle w:val="001000000000" w:firstRow="0" w:lastRow="0" w:firstColumn="1" w:lastColumn="0" w:oddVBand="0" w:evenVBand="0" w:oddHBand="0" w:evenHBand="0" w:firstRowFirstColumn="0" w:firstRowLastColumn="0" w:lastRowFirstColumn="0" w:lastRowLastColumn="0"/>
            <w:tcW w:w="1843" w:type="dxa"/>
            <w:shd w:val="clear" w:color="auto" w:fill="E2EFD9" w:themeFill="accent6" w:themeFillTint="33"/>
          </w:tcPr>
          <w:p w14:paraId="561A304C" w14:textId="77777777" w:rsidR="000979B2" w:rsidRPr="00A91C5A" w:rsidRDefault="000979B2" w:rsidP="000979B2">
            <w:pPr>
              <w:pStyle w:val="NoSpacing"/>
              <w:rPr>
                <w:b w:val="0"/>
              </w:rPr>
            </w:pPr>
            <w:r w:rsidRPr="00A91C5A">
              <w:rPr>
                <w:b w:val="0"/>
              </w:rPr>
              <w:t>Sepsis</w:t>
            </w:r>
          </w:p>
        </w:tc>
        <w:tc>
          <w:tcPr>
            <w:tcW w:w="7884" w:type="dxa"/>
          </w:tcPr>
          <w:p w14:paraId="45BBC174" w14:textId="77777777" w:rsidR="000979B2" w:rsidRPr="000B5C49" w:rsidRDefault="000979B2" w:rsidP="000979B2">
            <w:pPr>
              <w:pStyle w:val="NoSpacing"/>
              <w:cnfStyle w:val="000000000000" w:firstRow="0" w:lastRow="0" w:firstColumn="0" w:lastColumn="0" w:oddVBand="0" w:evenVBand="0" w:oddHBand="0" w:evenHBand="0" w:firstRowFirstColumn="0" w:firstRowLastColumn="0" w:lastRowFirstColumn="0" w:lastRowLastColumn="0"/>
              <w:rPr>
                <w:rFonts w:cstheme="minorHAnsi"/>
                <w:szCs w:val="21"/>
              </w:rPr>
            </w:pPr>
            <w:r>
              <w:rPr>
                <w:shd w:val="clear" w:color="auto" w:fill="FFFFFF"/>
              </w:rPr>
              <w:t xml:space="preserve">a life-threatening organ dysfunction caused by a dysregulated host response to infection </w:t>
            </w:r>
            <w:r>
              <w:rPr>
                <w:rFonts w:cstheme="minorHAnsi"/>
                <w:szCs w:val="21"/>
              </w:rPr>
              <w:t>(ICD-11)</w:t>
            </w:r>
            <w:r>
              <w:rPr>
                <w:rFonts w:cstheme="minorHAnsi"/>
                <w:szCs w:val="21"/>
              </w:rPr>
              <w:fldChar w:fldCharType="begin" w:fldLock="1"/>
            </w:r>
            <w:r>
              <w:rPr>
                <w:rFonts w:cstheme="minorHAnsi"/>
                <w:szCs w:val="21"/>
              </w:rPr>
              <w:instrText>ADDIN CSL_CITATION {"citationItems":[{"id":"ITEM-1","itemData":{"URL":"https://icd.who.int/browse11/l-m/en","accessed":{"date-parts":[["2020","5","24"]]},"id":"ITEM-1","issued":{"date-parts":[["0"]]},"title":"ICD-11 - Mortality and Morbidity Statistics","type":"webpage"},"uris":["http://www.mendeley.com/documents/?uuid=ab40c3d8-06bb-467a-8d0a-f68ae5b88946"]}],"mendeley":{"formattedCitation":"&lt;sup&gt;31&lt;/sup&gt;","plainTextFormattedCitation":"31","previouslyFormattedCitation":"&lt;sup&gt;30&lt;/sup&gt;"},"properties":{"noteIndex":0},"schema":"https://github.com/citation-style-language/schema/raw/master/csl-citation.json"}</w:instrText>
            </w:r>
            <w:r>
              <w:rPr>
                <w:rFonts w:cstheme="minorHAnsi"/>
                <w:szCs w:val="21"/>
              </w:rPr>
              <w:fldChar w:fldCharType="separate"/>
            </w:r>
            <w:r w:rsidRPr="008C02B1">
              <w:rPr>
                <w:rFonts w:cstheme="minorHAnsi"/>
                <w:noProof/>
                <w:szCs w:val="21"/>
                <w:vertAlign w:val="superscript"/>
              </w:rPr>
              <w:t>31</w:t>
            </w:r>
            <w:r>
              <w:rPr>
                <w:rFonts w:cstheme="minorHAnsi"/>
                <w:szCs w:val="21"/>
              </w:rPr>
              <w:fldChar w:fldCharType="end"/>
            </w:r>
          </w:p>
        </w:tc>
      </w:tr>
      <w:tr w:rsidR="000979B2" w14:paraId="2AF6CE1C" w14:textId="77777777" w:rsidTr="000979B2">
        <w:tc>
          <w:tcPr>
            <w:cnfStyle w:val="001000000000" w:firstRow="0" w:lastRow="0" w:firstColumn="1" w:lastColumn="0" w:oddVBand="0" w:evenVBand="0" w:oddHBand="0" w:evenHBand="0" w:firstRowFirstColumn="0" w:firstRowLastColumn="0" w:lastRowFirstColumn="0" w:lastRowLastColumn="0"/>
            <w:tcW w:w="1843" w:type="dxa"/>
            <w:shd w:val="clear" w:color="auto" w:fill="E2EFD9" w:themeFill="accent6" w:themeFillTint="33"/>
          </w:tcPr>
          <w:p w14:paraId="507B13F9" w14:textId="77777777" w:rsidR="000979B2" w:rsidRPr="00A91C5A" w:rsidRDefault="000979B2" w:rsidP="000979B2">
            <w:pPr>
              <w:pStyle w:val="NoSpacing"/>
              <w:rPr>
                <w:b w:val="0"/>
              </w:rPr>
            </w:pPr>
            <w:r w:rsidRPr="00A91C5A">
              <w:rPr>
                <w:b w:val="0"/>
              </w:rPr>
              <w:t>Meningitis</w:t>
            </w:r>
          </w:p>
        </w:tc>
        <w:tc>
          <w:tcPr>
            <w:tcW w:w="7884" w:type="dxa"/>
          </w:tcPr>
          <w:p w14:paraId="1CBA1CFD" w14:textId="77777777" w:rsidR="000979B2" w:rsidRPr="000B5C49" w:rsidRDefault="000979B2" w:rsidP="000979B2">
            <w:pPr>
              <w:pStyle w:val="NoSpacing"/>
              <w:cnfStyle w:val="000000000000" w:firstRow="0" w:lastRow="0" w:firstColumn="0" w:lastColumn="0" w:oddVBand="0" w:evenVBand="0" w:oddHBand="0" w:evenHBand="0" w:firstRowFirstColumn="0" w:firstRowLastColumn="0" w:lastRowFirstColumn="0" w:lastRowLastColumn="0"/>
            </w:pPr>
            <w:r>
              <w:t>a serious infection of the meninges, the membranes covering the brain and spinal cord (WHO)</w:t>
            </w:r>
          </w:p>
        </w:tc>
      </w:tr>
      <w:tr w:rsidR="000979B2" w14:paraId="6AB53F4E" w14:textId="77777777" w:rsidTr="000979B2">
        <w:tc>
          <w:tcPr>
            <w:cnfStyle w:val="001000000000" w:firstRow="0" w:lastRow="0" w:firstColumn="1" w:lastColumn="0" w:oddVBand="0" w:evenVBand="0" w:oddHBand="0" w:evenHBand="0" w:firstRowFirstColumn="0" w:firstRowLastColumn="0" w:lastRowFirstColumn="0" w:lastRowLastColumn="0"/>
            <w:tcW w:w="1843" w:type="dxa"/>
            <w:shd w:val="clear" w:color="auto" w:fill="E2EFD9" w:themeFill="accent6" w:themeFillTint="33"/>
          </w:tcPr>
          <w:p w14:paraId="594DC47D" w14:textId="77777777" w:rsidR="000979B2" w:rsidRPr="00A91C5A" w:rsidRDefault="000979B2" w:rsidP="000979B2">
            <w:pPr>
              <w:pStyle w:val="NoSpacing"/>
              <w:rPr>
                <w:b w:val="0"/>
              </w:rPr>
            </w:pPr>
            <w:r w:rsidRPr="00A91C5A">
              <w:rPr>
                <w:b w:val="0"/>
              </w:rPr>
              <w:t>Multi-organ dysfunction</w:t>
            </w:r>
          </w:p>
        </w:tc>
        <w:tc>
          <w:tcPr>
            <w:tcW w:w="7884" w:type="dxa"/>
          </w:tcPr>
          <w:p w14:paraId="1777D1B8" w14:textId="77777777" w:rsidR="000979B2" w:rsidRDefault="000979B2" w:rsidP="000979B2">
            <w:pPr>
              <w:pStyle w:val="NoSpacing"/>
              <w:cnfStyle w:val="000000000000" w:firstRow="0" w:lastRow="0" w:firstColumn="0" w:lastColumn="0" w:oddVBand="0" w:evenVBand="0" w:oddHBand="0" w:evenHBand="0" w:firstRowFirstColumn="0" w:firstRowLastColumn="0" w:lastRowFirstColumn="0" w:lastRowLastColumn="0"/>
            </w:pPr>
            <w:r>
              <w:rPr>
                <w:shd w:val="clear" w:color="auto" w:fill="FFFFFF"/>
              </w:rPr>
              <w:t xml:space="preserve">failure of function of </w:t>
            </w:r>
            <w:r w:rsidRPr="00CC04D2">
              <w:t>more</w:t>
            </w:r>
            <w:r>
              <w:rPr>
                <w:shd w:val="clear" w:color="auto" w:fill="FFFFFF"/>
              </w:rPr>
              <w:t xml:space="preserve"> than one organ or organ system</w:t>
            </w:r>
          </w:p>
        </w:tc>
      </w:tr>
    </w:tbl>
    <w:p w14:paraId="464A8DC5" w14:textId="77777777" w:rsidR="000979B2" w:rsidRPr="005571CF" w:rsidRDefault="000979B2" w:rsidP="000979B2">
      <w:r w:rsidRPr="00DC6F13">
        <w:t>Continued work of breathing (in the form of tachypnoea and/or lower chest wall retractions), leads to exhaustion, resulting in serious symptoms, such as, apnoea (cessation of breathing) in young infants, lethargy, and dehydration, which further complicates clinical status. If respiratory function is severely</w:t>
      </w:r>
      <w:r>
        <w:t xml:space="preserve"> compromised, it can cause respiratory failure type I, hypoxia</w:t>
      </w:r>
      <w:r>
        <w:rPr>
          <w:rFonts w:cstheme="minorHAnsi"/>
          <w:color w:val="000000"/>
          <w:szCs w:val="21"/>
          <w:shd w:val="clear" w:color="auto" w:fill="FFFFFF"/>
        </w:rPr>
        <w:t>. S</w:t>
      </w:r>
      <w:r>
        <w:rPr>
          <w:rFonts w:cstheme="minorHAnsi"/>
          <w:szCs w:val="21"/>
        </w:rPr>
        <w:t>igns of respiratory failure include increasing hypoxia and respiratory distress leading to exhaustion</w:t>
      </w:r>
      <w:r>
        <w:rPr>
          <w:rFonts w:cstheme="minorHAnsi"/>
          <w:szCs w:val="21"/>
        </w:rPr>
        <w:fldChar w:fldCharType="begin" w:fldLock="1"/>
      </w:r>
      <w:r>
        <w:rPr>
          <w:rFonts w:cstheme="minorHAnsi"/>
          <w:szCs w:val="21"/>
        </w:rPr>
        <w:instrText>ADDIN CSL_CITATION {"citationItems":[{"id":"ITEM-1","itemData":{"ISBN":"9789241548373","id":"ITEM-1","issued":{"date-parts":[["0"]]},"title":"HOSPITAL CARE FOR CHILDREN WHO ISBN 978 92 4 154837 3","type":"book"},"uris":["http://www.mendeley.com/documents/?uuid=9006a514-e730-30a4-af0c-d544ca39623a"]}],"mendeley":{"formattedCitation":"&lt;sup&gt;30&lt;/sup&gt;","plainTextFormattedCitation":"30","previouslyFormattedCitation":"&lt;sup&gt;29&lt;/sup&gt;"},"properties":{"noteIndex":0},"schema":"https://github.com/citation-style-language/schema/raw/master/csl-citation.json"}</w:instrText>
      </w:r>
      <w:r>
        <w:rPr>
          <w:rFonts w:cstheme="minorHAnsi"/>
          <w:szCs w:val="21"/>
        </w:rPr>
        <w:fldChar w:fldCharType="separate"/>
      </w:r>
      <w:r w:rsidRPr="008C02B1">
        <w:rPr>
          <w:rFonts w:cstheme="minorHAnsi"/>
          <w:noProof/>
          <w:szCs w:val="21"/>
          <w:vertAlign w:val="superscript"/>
        </w:rPr>
        <w:t>30</w:t>
      </w:r>
      <w:r>
        <w:rPr>
          <w:rFonts w:cstheme="minorHAnsi"/>
          <w:szCs w:val="21"/>
        </w:rPr>
        <w:fldChar w:fldCharType="end"/>
      </w:r>
      <w:r>
        <w:rPr>
          <w:rFonts w:cstheme="minorHAnsi"/>
          <w:szCs w:val="21"/>
        </w:rPr>
        <w:t>. The lack of oxygen flow to the vital organs can cause multi-organ dysfunction.</w:t>
      </w:r>
    </w:p>
    <w:p w14:paraId="352D90C4" w14:textId="77777777" w:rsidR="000979B2" w:rsidRDefault="000979B2" w:rsidP="000979B2">
      <w:pPr>
        <w:rPr>
          <w:rFonts w:cstheme="minorHAnsi"/>
          <w:szCs w:val="21"/>
        </w:rPr>
      </w:pPr>
      <w:r>
        <w:rPr>
          <w:rFonts w:cstheme="minorHAnsi"/>
          <w:szCs w:val="21"/>
        </w:rPr>
        <w:t xml:space="preserve">In the pulmonary system, complications arising from both bronchiolitis and pneumonia include pneumothorax, which can induce or further complicate respiratory failure, and pleural effusion; </w:t>
      </w:r>
      <w:r>
        <w:rPr>
          <w:color w:val="000000"/>
          <w:shd w:val="clear" w:color="auto" w:fill="FFFFFF"/>
        </w:rPr>
        <w:t xml:space="preserve">in Primary/Secondary Bacterial Pneumonia, as the disease </w:t>
      </w:r>
      <w:r>
        <w:rPr>
          <w:rFonts w:cstheme="minorHAnsi"/>
          <w:szCs w:val="21"/>
        </w:rPr>
        <w:t xml:space="preserve">progresses, </w:t>
      </w:r>
      <w:r>
        <w:rPr>
          <w:color w:val="000000"/>
          <w:shd w:val="clear" w:color="auto" w:fill="FFFFFF"/>
        </w:rPr>
        <w:t xml:space="preserve">bacteria can colonize the pleural fluid and generate an empyema; bacteria can also </w:t>
      </w:r>
      <w:r>
        <w:rPr>
          <w:rFonts w:cstheme="minorHAnsi"/>
          <w:szCs w:val="21"/>
        </w:rPr>
        <w:t>develop lung abscesses, and both</w:t>
      </w:r>
      <w:r w:rsidRPr="00CC04D2">
        <w:rPr>
          <w:color w:val="000000"/>
          <w:shd w:val="clear" w:color="auto" w:fill="FFFFFF"/>
        </w:rPr>
        <w:t xml:space="preserve"> </w:t>
      </w:r>
      <w:r>
        <w:rPr>
          <w:color w:val="000000"/>
          <w:shd w:val="clear" w:color="auto" w:fill="FFFFFF"/>
        </w:rPr>
        <w:t xml:space="preserve">bacteria-associated complications can </w:t>
      </w:r>
      <w:r>
        <w:rPr>
          <w:rFonts w:cstheme="minorHAnsi"/>
          <w:szCs w:val="21"/>
        </w:rPr>
        <w:t>further develop into bacteraemia or sepsis.</w:t>
      </w:r>
    </w:p>
    <w:p w14:paraId="30176CA5" w14:textId="77777777" w:rsidR="000979B2" w:rsidRPr="0065581B" w:rsidRDefault="000979B2" w:rsidP="000979B2">
      <w:pPr>
        <w:rPr>
          <w:rFonts w:cstheme="minorHAnsi"/>
          <w:szCs w:val="21"/>
        </w:rPr>
      </w:pPr>
      <w:r>
        <w:rPr>
          <w:rFonts w:cstheme="minorHAnsi"/>
          <w:szCs w:val="21"/>
        </w:rPr>
        <w:t>Bacteraemia</w:t>
      </w:r>
      <w:r>
        <w:t xml:space="preserve"> is the most common pneumonia complication and occurs when the pathogen causing pneumonia spreads into the bloodstream. This can then cause metastatic infections such as meningitis, or trigger sepsis, a </w:t>
      </w:r>
      <w:r>
        <w:rPr>
          <w:rFonts w:cstheme="minorHAnsi"/>
          <w:color w:val="000000"/>
          <w:szCs w:val="21"/>
          <w:shd w:val="clear" w:color="auto" w:fill="FFFFFF"/>
        </w:rPr>
        <w:t>dysregulated host response to infection potentially leading to septic shock where blood pressure drops to a dangerous level, causing life-threatening organ dysfunction</w:t>
      </w:r>
      <w:r>
        <w:rPr>
          <w:rFonts w:cstheme="minorHAnsi"/>
          <w:color w:val="000000"/>
          <w:szCs w:val="21"/>
          <w:shd w:val="clear" w:color="auto" w:fill="FFFFFF"/>
        </w:rPr>
        <w:fldChar w:fldCharType="begin" w:fldLock="1"/>
      </w:r>
      <w:r>
        <w:rPr>
          <w:rFonts w:cstheme="minorHAnsi"/>
          <w:color w:val="000000"/>
          <w:szCs w:val="21"/>
          <w:shd w:val="clear" w:color="auto" w:fill="FFFFFF"/>
        </w:rPr>
        <w:instrText>ADDIN CSL_CITATION {"citationItems":[{"id":"ITEM-1","itemData":{"DOI":"10.1097/01.PCC.0000161946.73305.0A","ISSN":"1529-7535","abstract":"Objective: To develop definitions of bloodstream infections in the newborn that would enable clinicians to identify infection early, so patients can be enrolled in clinical trials. The definitions should be useful for surveillance and epidemiologic purposes. Method: Search of EMBASE, MEDLINE, and Cochrane Library using age and English language limited key words sepsis, septicemia, and shock. Extensive study of textbook of neonatology and discussions with experts in the field. Results: The search identified &gt;2,000 references. The most appropriate were selected and reviewed. Definitions of bloodstream infection were developed after consultation with an international faculty. Conclusion: Current definitions of neonatal infection (and associated categories) used by neonatal clinicians and researchers have been either adapted/modified from definitions developed for adults or generated by individuals to suit their local needs or the needs of a particular study. It is clear that definitions generated for adults are not applicable to children or to newborn infants. In addition, developing and using unique definitions to suit individual or local needs make comparisons of outcome data and result of studies very difficult. This article proposes a set of definitions that are based as much as possible on current evidence. These definitions may be applicable widely for daily management of an infant with an infection and for research and epidemiologic studies. Copyright © 2005 by the Society of Critical Care Medicine and the World Federation of Pediatric Intensive and Critical Care Societies.","author":[{"dropping-particle":"","family":"Haque","given":"Khalid N.","non-dropping-particle":"","parse-names":false,"suffix":""}],"container-title":"Pediatric Critical Care Medicine","id":"ITEM-1","issue":"Supplement","issued":{"date-parts":[["2005","5"]]},"page":"S45-S49","title":"Definitions of bloodstream infection in the newborn","type":"article-journal","volume":"6"},"uris":["http://www.mendeley.com/documents/?uuid=78543419-98ee-3f91-93dc-55ce0e7bd5c3"]}],"mendeley":{"formattedCitation":"&lt;sup&gt;32&lt;/sup&gt;","plainTextFormattedCitation":"32","previouslyFormattedCitation":"&lt;sup&gt;31&lt;/sup&gt;"},"properties":{"noteIndex":0},"schema":"https://github.com/citation-style-language/schema/raw/master/csl-citation.json"}</w:instrText>
      </w:r>
      <w:r>
        <w:rPr>
          <w:rFonts w:cstheme="minorHAnsi"/>
          <w:color w:val="000000"/>
          <w:szCs w:val="21"/>
          <w:shd w:val="clear" w:color="auto" w:fill="FFFFFF"/>
        </w:rPr>
        <w:fldChar w:fldCharType="separate"/>
      </w:r>
      <w:r w:rsidRPr="008C02B1">
        <w:rPr>
          <w:rFonts w:cstheme="minorHAnsi"/>
          <w:noProof/>
          <w:color w:val="000000"/>
          <w:szCs w:val="21"/>
          <w:shd w:val="clear" w:color="auto" w:fill="FFFFFF"/>
          <w:vertAlign w:val="superscript"/>
        </w:rPr>
        <w:t>32</w:t>
      </w:r>
      <w:r>
        <w:rPr>
          <w:rFonts w:cstheme="minorHAnsi"/>
          <w:color w:val="000000"/>
          <w:szCs w:val="21"/>
          <w:shd w:val="clear" w:color="auto" w:fill="FFFFFF"/>
        </w:rPr>
        <w:fldChar w:fldCharType="end"/>
      </w:r>
      <w:r>
        <w:rPr>
          <w:rFonts w:cstheme="minorHAnsi"/>
          <w:color w:val="000000"/>
          <w:szCs w:val="21"/>
          <w:shd w:val="clear" w:color="auto" w:fill="FFFFFF"/>
        </w:rPr>
        <w:t>.</w:t>
      </w:r>
    </w:p>
    <w:p w14:paraId="0DAFCDB0" w14:textId="77777777" w:rsidR="000979B2" w:rsidRDefault="000979B2" w:rsidP="000979B2">
      <w:pPr>
        <w:rPr>
          <w:shd w:val="clear" w:color="auto" w:fill="FFFFFF"/>
        </w:rPr>
      </w:pPr>
      <w:r>
        <w:rPr>
          <w:shd w:val="clear" w:color="auto" w:fill="FFFFFF"/>
        </w:rPr>
        <w:t>Death from pneumonia is due to related complications: sepsis, meningitis, and respiratory failure, all potentially leading to multi-organ failure. Risk factors associated with death are HIV status, malnutrition, low birth weight, and</w:t>
      </w:r>
      <w:r w:rsidRPr="001742A8">
        <w:rPr>
          <w:shd w:val="clear" w:color="auto" w:fill="FFFFFF"/>
        </w:rPr>
        <w:t xml:space="preserve"> </w:t>
      </w:r>
      <w:r>
        <w:rPr>
          <w:shd w:val="clear" w:color="auto" w:fill="FFFFFF"/>
        </w:rPr>
        <w:t>younger age</w:t>
      </w:r>
      <w:r>
        <w:rPr>
          <w:shd w:val="clear" w:color="auto" w:fill="FFFFFF"/>
        </w:rPr>
        <w:fldChar w:fldCharType="begin" w:fldLock="1"/>
      </w:r>
      <w:r>
        <w:rPr>
          <w:shd w:val="clear" w:color="auto" w:fill="FFFFFF"/>
        </w:rPr>
        <w:instrText>ADDIN CSL_CITATION {"citationItems":[{"id":"ITEM-1","itemData":{"DOI":"10.1016/S0140-6736(13)60222-6","ISSN":"1474-547X","PMID":"23582727","abstract":"Diarrhoea and pneumonia are the leading infectious causes of childhood morbidity and mortality. We comprehensively reviewed the epidemiology of childhood diarrhoea and pneumonia in 2010-11 to inform the planning of integrated control programmes for both illnesses. We estimated that, in 2010, there were 1·731 billion episodes of diarrhoea (36 million of which progressed to severe episodes) and 120 million episodes of pneumonia (14 million of which progressed to severe episodes) in children younger than 5 years. We estimated that, in 2011, 700,000 episodes of diarrhoea and 1·3 million of pneumonia led to death. A high proportion of deaths occurs in the first 2 years of life in both diseases--72% for diarrhoea and 81% for pneumonia. The epidemiology of childhood diarrhoea and that of pneumonia overlap, which might be partly because of shared risk factors, such as undernutrition, suboptimum breastfeeding, and zinc deficiency. Rotavirus is the most common cause of vaccine-preventable severe diarrhoea (associated with 28% of cases), and Streptococcus pneumoniae (18·3%) of vaccine-preventable severe pneumonia. Morbidity and mortality from childhood pneumonia and diarrhoea are falling, but action is needed globally and at country level to accelerate the reduction.","author":[{"dropping-particle":"","family":"Walker","given":"Christa L Fischer","non-dropping-particle":"","parse-names":false,"suffix":""},{"dropping-particle":"","family":"Rudan","given":"Igor","non-dropping-particle":"","parse-names":false,"suffix":""},{"dropping-particle":"","family":"Liu","given":"Li","non-dropping-particle":"","parse-names":false,"suffix":""},{"dropping-particle":"","family":"Nair","given":"Harish","non-dropping-particle":"","parse-names":false,"suffix":""},{"dropping-particle":"","family":"Theodoratou","given":"Evropi","non-dropping-particle":"","parse-names":false,"suffix":""},{"dropping-particle":"","family":"Bhutta","given":"Zulfiqar A","non-dropping-particle":"","parse-names":false,"suffix":""},{"dropping-particle":"","family":"O'Brien","given":"Katherine L","non-dropping-particle":"","parse-names":false,"suffix":""},{"dropping-particle":"","family":"Campbell","given":"Harry","non-dropping-particle":"","parse-names":false,"suffix":""},{"dropping-particle":"","family":"Black","given":"Robert E","non-dropping-particle":"","parse-names":false,"suffix":""}],"container-title":"Lancet (London, England)","id":"ITEM-1","issue":"9875","issued":{"date-parts":[["2013","4","20"]]},"page":"1405-1416","title":"Global burden of childhood pneumonia and diarrhoea.","type":"article-journal","volume":"381"},"uris":["http://www.mendeley.com/documents/?uuid=4b3b908c-14ef-3518-bae1-c10faa7bfc50"]}],"mendeley":{"formattedCitation":"&lt;sup&gt;11&lt;/sup&gt;","plainTextFormattedCitation":"11","previouslyFormattedCitation":"&lt;sup&gt;10&lt;/sup&gt;"},"properties":{"noteIndex":0},"schema":"https://github.com/citation-style-language/schema/raw/master/csl-citation.json"}</w:instrText>
      </w:r>
      <w:r>
        <w:rPr>
          <w:shd w:val="clear" w:color="auto" w:fill="FFFFFF"/>
        </w:rPr>
        <w:fldChar w:fldCharType="separate"/>
      </w:r>
      <w:r w:rsidRPr="008C02B1">
        <w:rPr>
          <w:noProof/>
          <w:shd w:val="clear" w:color="auto" w:fill="FFFFFF"/>
          <w:vertAlign w:val="superscript"/>
        </w:rPr>
        <w:t>11</w:t>
      </w:r>
      <w:r>
        <w:rPr>
          <w:shd w:val="clear" w:color="auto" w:fill="FFFFFF"/>
        </w:rPr>
        <w:fldChar w:fldCharType="end"/>
      </w:r>
      <w:r>
        <w:rPr>
          <w:shd w:val="clear" w:color="auto" w:fill="FFFFFF"/>
        </w:rPr>
        <w:t xml:space="preserve"> </w:t>
      </w:r>
      <w:r>
        <w:fldChar w:fldCharType="begin" w:fldLock="1"/>
      </w:r>
      <w:r>
        <w:instrText>ADDIN CSL_CITATION {"citationItems":[{"id":"ITEM-1","itemData":{"DOI":"10.1016/S2214-109X(15)00215-6","ISSN":"2214109X","abstract":"Background: Few studies have reported long-term data on mortality rates for children admitted to hospital with pneumonia in Africa. We examined trends in case fatality rates for all-cause clinical pneumonia and its risk factors in Malawian children between 2001 and 2012. Methods: Individual patient data for children (&lt;5 years) with clinical pneumonia who were admitted to hospitals participating in Malawi's Child Lung Health Programme between 2001 and 2012 were recorded prospectively on a standardised medical form. We analysed trends in pneumonia mortality and children's clinical characteristics, and we estimated the association of risk factors with case fatality for children younger than 2 months, 2-11 months of age, and 12-59 months of age using separate multivariable mixed effects logistic regression models. Findings: Between November, 2012, and May, 2013, we retrospectively collected all available hard copies of yellow forms from 40 of 41 participating hospitals. We examined 113 154 pneumonia cases, 104 932 (92·7%) of whom had mortality data and 6903 of whom died, and calculated an overall case fatality rate of 6·6% (95% CI 6·4-6·7). The case fatality rate significantly decreased between 2001 (15·2% [13·4-17·1]) and 2012 (4·5% [4·1-4·9]; ptrend&lt;0·0001). Univariable analyses indicated that the decrease in case fatality rate was consistent across most subgroups. In multivariable analyses, the risk factors significantly associated with increased odds of mortality were female sex, young age, very severe pneumonia, clinically suspected Pneumocystis jirovecii infection, moderate or severe underweight, severe acute malnutrition, disease duration of more than 21 days, and referral from a health centre. Increasing year between 2001 and 2012 and increasing age (in months) were associated with reduced odds of mortality. Fast breathing was associated with reduced odds of mortality in children 2-11 months of age. However, case fatality rate in 2012 remained high for children with very severe pneumonia (11·8%), severe undernutrition (15·4%), severe acute malnutrition (34·8%), and symptom duration of more than 21 days (9·0%). Interpretation: Pneumonia mortality and its risk factors have steadily improved in the past decade in Malawi; however, mortality remains high in specific subgroups. Improvements in hospital care may have reduced case fatality rates though a lack of sufficient data on quality of care indicators and the potential of socioeconomic and other impro…","author":[{"dropping-particle":"","family":"Lazzerini","given":"Marzia","non-dropping-particle":"","parse-names":false,"suffix":""},{"dropping-particle":"","family":"Seward","given":"Nadine","non-dropping-particle":"","parse-names":false,"suffix":""},{"dropping-particle":"","family":"Lufesi","given":"Norman","non-dropping-particle":"","parse-names":false,"suffix":""},{"dropping-particle":"","family":"Banda","given":"Rosina","non-dropping-particle":"","parse-names":false,"suffix":""},{"dropping-particle":"","family":"Sinyeka","given":"Sophie","non-dropping-particle":"","parse-names":false,"suffix":""},{"dropping-particle":"","family":"Masache","given":"Gibson","non-dropping-particle":"","parse-names":false,"suffix":""},{"dropping-particle":"","family":"Nambiar","given":"Bejoy","non-dropping-particle":"","parse-names":false,"suffix":""},{"dropping-particle":"","family":"Makwenda","given":"Charles","non-dropping-particle":"","parse-names":false,"suffix":""},{"dropping-particle":"","family":"Costello","given":"Anthony","non-dropping-particle":"","parse-names":false,"suffix":""},{"dropping-particle":"","family":"McCollum","given":"Eric D.","non-dropping-particle":"","parse-names":false,"suffix":""},{"dropping-particle":"","family":"Colbourn","given":"Tim","non-dropping-particle":"","parse-names":false,"suffix":""}],"container-title":"The Lancet Global Health","id":"ITEM-1","issued":{"date-parts":[["2016"]]},"title":"Mortality and its risk factors in Malawian children admitted to hospital with clinical pneumonia, 2001-12: A retrospective observational study","type":"article-journal"},"uris":["http://www.mendeley.com/documents/?uuid=5878bca2-20c3-4454-8a24-9fac8374d47a"]}],"mendeley":{"formattedCitation":"&lt;sup&gt;33&lt;/sup&gt;","plainTextFormattedCitation":"33","previouslyFormattedCitation":"&lt;sup&gt;32&lt;/sup&gt;"},"properties":{"noteIndex":0},"schema":"https://github.com/citation-style-language/schema/raw/master/csl-citation.json"}</w:instrText>
      </w:r>
      <w:r>
        <w:fldChar w:fldCharType="separate"/>
      </w:r>
      <w:r w:rsidRPr="008C02B1">
        <w:rPr>
          <w:noProof/>
          <w:vertAlign w:val="superscript"/>
        </w:rPr>
        <w:t>33</w:t>
      </w:r>
      <w:r>
        <w:fldChar w:fldCharType="end"/>
      </w:r>
      <w:r>
        <w:rPr>
          <w:shd w:val="clear" w:color="auto" w:fill="FFFFFF"/>
        </w:rPr>
        <w:t>.</w:t>
      </w:r>
    </w:p>
    <w:p w14:paraId="2C7280F3" w14:textId="77777777" w:rsidR="000979B2" w:rsidRDefault="000979B2" w:rsidP="000979B2">
      <w:pPr>
        <w:pStyle w:val="Heading3"/>
      </w:pPr>
      <w:bookmarkStart w:id="11" w:name="_Toc49847085"/>
      <w:bookmarkStart w:id="12" w:name="_Toc64288808"/>
      <w:r>
        <w:t>Properties and parameters of the natural history</w:t>
      </w:r>
      <w:bookmarkEnd w:id="11"/>
      <w:bookmarkEnd w:id="12"/>
    </w:p>
    <w:p w14:paraId="3FC9C3F8" w14:textId="77777777" w:rsidR="000979B2" w:rsidRPr="00245B8D" w:rsidRDefault="000979B2" w:rsidP="000979B2">
      <w:r>
        <w:t>The ALRI module updates information on each individual (under 5 years of age) with regards to ALRI status every 3 months. The variables describing the state of the disease include the primary causal pathogen, the secondary (bacterial) causal pathogen, the ALRI disease type, complications associated with disease, the date of acquiring that ALRI episode, date of progression to severe states and date of recovery and death, as described in Table 6.</w:t>
      </w:r>
      <w:r w:rsidRPr="00A81B32">
        <w:t xml:space="preserve"> </w:t>
      </w:r>
    </w:p>
    <w:p w14:paraId="3A6FC4D4" w14:textId="25586D54" w:rsidR="000979B2" w:rsidRDefault="000979B2" w:rsidP="000979B2">
      <w:pPr>
        <w:pStyle w:val="Caption"/>
        <w:keepNext/>
      </w:pPr>
      <w:r>
        <w:t xml:space="preserve">Table </w:t>
      </w:r>
      <w:r w:rsidR="00E018E1">
        <w:fldChar w:fldCharType="begin"/>
      </w:r>
      <w:r w:rsidR="00E018E1">
        <w:instrText xml:space="preserve"> SEQ Table \* ARABIC</w:instrText>
      </w:r>
      <w:r w:rsidR="00E018E1">
        <w:instrText xml:space="preserve"> </w:instrText>
      </w:r>
      <w:r w:rsidR="00E018E1">
        <w:fldChar w:fldCharType="separate"/>
      </w:r>
      <w:r>
        <w:rPr>
          <w:noProof/>
        </w:rPr>
        <w:t>7</w:t>
      </w:r>
      <w:r w:rsidR="00E018E1">
        <w:rPr>
          <w:noProof/>
        </w:rPr>
        <w:fldChar w:fldCharType="end"/>
      </w:r>
      <w:r>
        <w:t xml:space="preserve"> - </w:t>
      </w:r>
      <w:r w:rsidRPr="007256D3">
        <w:t>Proposed properties of the ALRI module</w:t>
      </w:r>
    </w:p>
    <w:tbl>
      <w:tblPr>
        <w:tblStyle w:val="TableGrid1"/>
        <w:tblW w:w="0" w:type="auto"/>
        <w:tblLayout w:type="fixed"/>
        <w:tblLook w:val="04A0" w:firstRow="1" w:lastRow="0" w:firstColumn="1" w:lastColumn="0" w:noHBand="0" w:noVBand="1"/>
      </w:tblPr>
      <w:tblGrid>
        <w:gridCol w:w="2972"/>
        <w:gridCol w:w="4111"/>
        <w:gridCol w:w="3260"/>
      </w:tblGrid>
      <w:tr w:rsidR="000979B2" w:rsidRPr="0009125F" w14:paraId="70C9C6B4" w14:textId="77777777" w:rsidTr="000979B2">
        <w:trPr>
          <w:trHeight w:val="255"/>
        </w:trPr>
        <w:tc>
          <w:tcPr>
            <w:tcW w:w="2972" w:type="dxa"/>
            <w:shd w:val="clear" w:color="auto" w:fill="000000" w:themeFill="text1"/>
          </w:tcPr>
          <w:p w14:paraId="6CDEDAA5" w14:textId="77777777" w:rsidR="000979B2" w:rsidRPr="00233C8B" w:rsidRDefault="000979B2" w:rsidP="000979B2">
            <w:pPr>
              <w:pStyle w:val="NoSpacing"/>
              <w:rPr>
                <w:rFonts w:eastAsiaTheme="minorHAnsi"/>
                <w:b/>
              </w:rPr>
            </w:pPr>
            <w:r w:rsidRPr="00233C8B">
              <w:rPr>
                <w:rFonts w:eastAsiaTheme="minorHAnsi"/>
                <w:b/>
              </w:rPr>
              <w:t>Variable name (Properties)</w:t>
            </w:r>
          </w:p>
        </w:tc>
        <w:tc>
          <w:tcPr>
            <w:tcW w:w="4111" w:type="dxa"/>
            <w:shd w:val="clear" w:color="auto" w:fill="000000" w:themeFill="text1"/>
          </w:tcPr>
          <w:p w14:paraId="3C76DFC8" w14:textId="77777777" w:rsidR="000979B2" w:rsidRPr="00233C8B" w:rsidRDefault="000979B2" w:rsidP="000979B2">
            <w:pPr>
              <w:pStyle w:val="NoSpacing"/>
              <w:rPr>
                <w:rFonts w:eastAsiaTheme="minorHAnsi"/>
                <w:b/>
              </w:rPr>
            </w:pPr>
            <w:r w:rsidRPr="00233C8B">
              <w:rPr>
                <w:rFonts w:eastAsiaTheme="minorHAnsi"/>
                <w:b/>
              </w:rPr>
              <w:t>Property type + categories</w:t>
            </w:r>
          </w:p>
        </w:tc>
        <w:tc>
          <w:tcPr>
            <w:tcW w:w="3260" w:type="dxa"/>
            <w:shd w:val="clear" w:color="auto" w:fill="000000" w:themeFill="text1"/>
          </w:tcPr>
          <w:p w14:paraId="3773CE9A" w14:textId="77777777" w:rsidR="000979B2" w:rsidRPr="00233C8B" w:rsidRDefault="000979B2" w:rsidP="000979B2">
            <w:pPr>
              <w:pStyle w:val="NoSpacing"/>
              <w:rPr>
                <w:rFonts w:eastAsiaTheme="minorHAnsi"/>
                <w:b/>
              </w:rPr>
            </w:pPr>
            <w:r w:rsidRPr="00233C8B">
              <w:rPr>
                <w:rFonts w:eastAsiaTheme="minorHAnsi"/>
                <w:b/>
              </w:rPr>
              <w:t xml:space="preserve">Description </w:t>
            </w:r>
          </w:p>
        </w:tc>
      </w:tr>
      <w:tr w:rsidR="000979B2" w:rsidRPr="0009125F" w14:paraId="1A6C53B8" w14:textId="77777777" w:rsidTr="000979B2">
        <w:trPr>
          <w:trHeight w:val="255"/>
        </w:trPr>
        <w:tc>
          <w:tcPr>
            <w:tcW w:w="2972" w:type="dxa"/>
            <w:shd w:val="clear" w:color="auto" w:fill="EDEDED" w:themeFill="accent3" w:themeFillTint="33"/>
          </w:tcPr>
          <w:p w14:paraId="07D8E2A7" w14:textId="77777777" w:rsidR="000979B2" w:rsidRPr="0009125F" w:rsidRDefault="000979B2" w:rsidP="000979B2">
            <w:pPr>
              <w:pStyle w:val="NoSpacing"/>
            </w:pPr>
            <w:r>
              <w:t>ri_current_ALRI_status</w:t>
            </w:r>
          </w:p>
        </w:tc>
        <w:tc>
          <w:tcPr>
            <w:tcW w:w="4111" w:type="dxa"/>
            <w:shd w:val="clear" w:color="auto" w:fill="auto"/>
          </w:tcPr>
          <w:p w14:paraId="267BCC81" w14:textId="77777777" w:rsidR="000979B2" w:rsidRDefault="000979B2" w:rsidP="000979B2">
            <w:pPr>
              <w:pStyle w:val="NoSpacing"/>
            </w:pPr>
            <w:r>
              <w:t>Boolean</w:t>
            </w:r>
          </w:p>
          <w:p w14:paraId="76612E4D" w14:textId="77777777" w:rsidR="000979B2" w:rsidRDefault="000979B2" w:rsidP="000979B2">
            <w:pPr>
              <w:pStyle w:val="NoSpacing"/>
            </w:pPr>
            <w:r>
              <w:t>(True/False)</w:t>
            </w:r>
          </w:p>
        </w:tc>
        <w:tc>
          <w:tcPr>
            <w:tcW w:w="3260" w:type="dxa"/>
            <w:shd w:val="clear" w:color="auto" w:fill="auto"/>
          </w:tcPr>
          <w:p w14:paraId="093A3E15" w14:textId="77777777" w:rsidR="000979B2" w:rsidRPr="0009125F" w:rsidRDefault="000979B2" w:rsidP="000979B2">
            <w:pPr>
              <w:pStyle w:val="NoSpacing"/>
            </w:pPr>
            <w:r>
              <w:t>ALRI status for the current simulation run</w:t>
            </w:r>
          </w:p>
        </w:tc>
      </w:tr>
      <w:tr w:rsidR="000979B2" w:rsidRPr="0009125F" w14:paraId="455EA362" w14:textId="77777777" w:rsidTr="000979B2">
        <w:trPr>
          <w:trHeight w:val="706"/>
        </w:trPr>
        <w:tc>
          <w:tcPr>
            <w:tcW w:w="2972" w:type="dxa"/>
            <w:shd w:val="clear" w:color="auto" w:fill="EDEDED" w:themeFill="accent3" w:themeFillTint="33"/>
          </w:tcPr>
          <w:p w14:paraId="48D47423" w14:textId="77777777" w:rsidR="000979B2" w:rsidRPr="0009125F" w:rsidRDefault="000979B2" w:rsidP="000979B2">
            <w:pPr>
              <w:pStyle w:val="NoSpacing"/>
              <w:rPr>
                <w:rFonts w:eastAsiaTheme="minorHAnsi"/>
              </w:rPr>
            </w:pPr>
            <w:r w:rsidRPr="0009125F">
              <w:rPr>
                <w:rFonts w:eastAsiaTheme="minorHAnsi"/>
              </w:rPr>
              <w:t>ri_primary_ALRI_pathogen</w:t>
            </w:r>
          </w:p>
        </w:tc>
        <w:tc>
          <w:tcPr>
            <w:tcW w:w="4111" w:type="dxa"/>
          </w:tcPr>
          <w:p w14:paraId="197848B2" w14:textId="77777777" w:rsidR="000979B2" w:rsidRPr="00233C8B" w:rsidRDefault="000979B2" w:rsidP="000979B2">
            <w:pPr>
              <w:pStyle w:val="NoSpacing"/>
              <w:rPr>
                <w:rFonts w:eastAsiaTheme="minorHAnsi" w:cs="Arial"/>
                <w:szCs w:val="21"/>
              </w:rPr>
            </w:pPr>
            <w:r w:rsidRPr="00233C8B">
              <w:rPr>
                <w:rFonts w:eastAsiaTheme="minorHAnsi" w:cs="Arial"/>
                <w:szCs w:val="21"/>
              </w:rPr>
              <w:t>Categorical</w:t>
            </w:r>
          </w:p>
          <w:p w14:paraId="3689904F" w14:textId="77777777" w:rsidR="000979B2" w:rsidRPr="00233C8B" w:rsidRDefault="000979B2" w:rsidP="000979B2">
            <w:pPr>
              <w:pStyle w:val="NoSpacing"/>
              <w:rPr>
                <w:rFonts w:eastAsiaTheme="minorHAnsi" w:cs="Arial"/>
                <w:szCs w:val="21"/>
              </w:rPr>
            </w:pPr>
            <w:r w:rsidRPr="00233C8B">
              <w:rPr>
                <w:rFonts w:eastAsiaTheme="minorHAnsi" w:cs="Arial"/>
                <w:szCs w:val="21"/>
              </w:rPr>
              <w:t xml:space="preserve">‘RSV', 'rhinovirus', 'HMPV', 'parainfluenza', </w:t>
            </w:r>
            <w:r w:rsidRPr="00233C8B">
              <w:rPr>
                <w:rFonts w:eastAsiaTheme="minorHAnsi" w:cs="Arial"/>
                <w:szCs w:val="21"/>
              </w:rPr>
              <w:lastRenderedPageBreak/>
              <w:t>'Strep_pneumoniae_PCV13',</w:t>
            </w:r>
            <w:r w:rsidRPr="00233C8B">
              <w:rPr>
                <w:rFonts w:eastAsiaTheme="minorHAnsi" w:cs="Arial"/>
                <w:szCs w:val="21"/>
              </w:rPr>
              <w:br/>
              <w:t>'Strep_pneumoniae_non_PCV13',</w:t>
            </w:r>
            <w:r w:rsidRPr="00233C8B">
              <w:rPr>
                <w:rFonts w:eastAsiaTheme="minorHAnsi" w:cs="Arial"/>
                <w:szCs w:val="21"/>
              </w:rPr>
              <w:br/>
              <w:t>'Hib', 'H.influenzae_non_type_b',</w:t>
            </w:r>
          </w:p>
          <w:p w14:paraId="5671F0A7" w14:textId="77777777" w:rsidR="000979B2" w:rsidRPr="00233C8B" w:rsidRDefault="000979B2" w:rsidP="000979B2">
            <w:pPr>
              <w:pStyle w:val="NoSpacing"/>
              <w:rPr>
                <w:rFonts w:eastAsiaTheme="minorHAnsi" w:cs="Arial"/>
                <w:szCs w:val="21"/>
              </w:rPr>
            </w:pPr>
            <w:r w:rsidRPr="00233C8B">
              <w:rPr>
                <w:rFonts w:eastAsiaTheme="minorHAnsi" w:cs="Arial"/>
                <w:szCs w:val="21"/>
              </w:rPr>
              <w:t>'Staphylococcus aureus', 'Enterobacteriaceae'</w:t>
            </w:r>
            <w:r>
              <w:rPr>
                <w:rFonts w:eastAsiaTheme="minorHAnsi" w:cs="Arial"/>
                <w:szCs w:val="21"/>
              </w:rPr>
              <w:t>*</w:t>
            </w:r>
            <w:r w:rsidRPr="00233C8B">
              <w:rPr>
                <w:rFonts w:eastAsiaTheme="minorHAnsi" w:cs="Arial"/>
                <w:szCs w:val="21"/>
              </w:rPr>
              <w:t>, 'other_Strepto_Enterococci'</w:t>
            </w:r>
            <w:r>
              <w:rPr>
                <w:rFonts w:eastAsiaTheme="minorHAnsi" w:cs="Arial"/>
                <w:szCs w:val="21"/>
              </w:rPr>
              <w:t>**</w:t>
            </w:r>
          </w:p>
          <w:p w14:paraId="6C2A1B38" w14:textId="77777777" w:rsidR="000979B2" w:rsidRPr="00233C8B" w:rsidRDefault="000979B2" w:rsidP="000979B2">
            <w:pPr>
              <w:pStyle w:val="NoSpacing"/>
              <w:rPr>
                <w:rFonts w:eastAsiaTheme="minorHAnsi" w:cs="Arial"/>
                <w:szCs w:val="21"/>
              </w:rPr>
            </w:pPr>
            <w:r w:rsidRPr="00233C8B">
              <w:rPr>
                <w:rFonts w:eastAsiaTheme="minorHAnsi" w:cs="Arial"/>
                <w:szCs w:val="21"/>
              </w:rPr>
              <w:t xml:space="preserve"> 'influenza', 'P. jirovecii', ‘adenovirus’, ‘bocavirus’, ‘other_viral_pathogen’</w:t>
            </w:r>
            <w:r>
              <w:rPr>
                <w:rFonts w:eastAsiaTheme="minorHAnsi" w:cs="Arial"/>
                <w:szCs w:val="21"/>
              </w:rPr>
              <w:t>***</w:t>
            </w:r>
            <w:r w:rsidRPr="00233C8B">
              <w:rPr>
                <w:rFonts w:eastAsiaTheme="minorHAnsi" w:cs="Arial"/>
                <w:szCs w:val="21"/>
              </w:rPr>
              <w:t>, ‘other_bacterial_pathogen’</w:t>
            </w:r>
            <w:r>
              <w:rPr>
                <w:rFonts w:eastAsiaTheme="minorHAnsi" w:cs="Arial"/>
                <w:szCs w:val="21"/>
              </w:rPr>
              <w:t>****</w:t>
            </w:r>
          </w:p>
        </w:tc>
        <w:tc>
          <w:tcPr>
            <w:tcW w:w="3260" w:type="dxa"/>
          </w:tcPr>
          <w:p w14:paraId="26632A68" w14:textId="77777777" w:rsidR="000979B2" w:rsidRPr="0009125F" w:rsidRDefault="000979B2" w:rsidP="000979B2">
            <w:pPr>
              <w:pStyle w:val="NoSpacing"/>
              <w:rPr>
                <w:rFonts w:eastAsiaTheme="minorHAnsi"/>
              </w:rPr>
            </w:pPr>
            <w:r>
              <w:rPr>
                <w:rFonts w:eastAsiaTheme="minorHAnsi"/>
              </w:rPr>
              <w:lastRenderedPageBreak/>
              <w:t>Attributable pathogen</w:t>
            </w:r>
            <w:r w:rsidRPr="0009125F">
              <w:rPr>
                <w:rFonts w:eastAsiaTheme="minorHAnsi"/>
              </w:rPr>
              <w:t xml:space="preserve"> for </w:t>
            </w:r>
            <w:r>
              <w:rPr>
                <w:rFonts w:eastAsiaTheme="minorHAnsi"/>
              </w:rPr>
              <w:t xml:space="preserve">the current </w:t>
            </w:r>
            <w:r w:rsidRPr="0009125F">
              <w:rPr>
                <w:rFonts w:eastAsiaTheme="minorHAnsi"/>
              </w:rPr>
              <w:t>ac</w:t>
            </w:r>
            <w:r>
              <w:rPr>
                <w:rFonts w:eastAsiaTheme="minorHAnsi"/>
              </w:rPr>
              <w:t>ute lower respiratory infection</w:t>
            </w:r>
          </w:p>
        </w:tc>
      </w:tr>
      <w:tr w:rsidR="000979B2" w:rsidRPr="0009125F" w14:paraId="6124C735" w14:textId="77777777" w:rsidTr="000979B2">
        <w:trPr>
          <w:trHeight w:val="706"/>
        </w:trPr>
        <w:tc>
          <w:tcPr>
            <w:tcW w:w="2972" w:type="dxa"/>
            <w:shd w:val="clear" w:color="auto" w:fill="EDEDED" w:themeFill="accent3" w:themeFillTint="33"/>
          </w:tcPr>
          <w:p w14:paraId="5AAECB01" w14:textId="77777777" w:rsidR="000979B2" w:rsidRPr="0009125F" w:rsidRDefault="000979B2" w:rsidP="000979B2">
            <w:pPr>
              <w:pStyle w:val="NoSpacing"/>
              <w:rPr>
                <w:rFonts w:eastAsiaTheme="minorHAnsi"/>
              </w:rPr>
            </w:pPr>
            <w:r w:rsidRPr="0009125F">
              <w:rPr>
                <w:rFonts w:eastAsiaTheme="minorHAnsi"/>
              </w:rPr>
              <w:t>ri_secondary_bacterial_pathogen</w:t>
            </w:r>
          </w:p>
        </w:tc>
        <w:tc>
          <w:tcPr>
            <w:tcW w:w="4111" w:type="dxa"/>
          </w:tcPr>
          <w:p w14:paraId="7EAECE7C" w14:textId="77777777" w:rsidR="000979B2" w:rsidRPr="0009125F" w:rsidRDefault="000979B2" w:rsidP="000979B2">
            <w:pPr>
              <w:pStyle w:val="NoSpacing"/>
              <w:rPr>
                <w:rFonts w:eastAsiaTheme="minorHAnsi"/>
              </w:rPr>
            </w:pPr>
            <w:r w:rsidRPr="0009125F">
              <w:rPr>
                <w:rFonts w:eastAsiaTheme="minorHAnsi"/>
              </w:rPr>
              <w:t>Categorical</w:t>
            </w:r>
          </w:p>
          <w:p w14:paraId="1334652F" w14:textId="77777777" w:rsidR="000979B2" w:rsidRPr="0020060C" w:rsidRDefault="000979B2" w:rsidP="000979B2">
            <w:pPr>
              <w:pStyle w:val="NoSpacing"/>
            </w:pPr>
            <w:r w:rsidRPr="0020060C">
              <w:t>'Strep_pneumoniae_PCV13',</w:t>
            </w:r>
            <w:r w:rsidRPr="0020060C">
              <w:br/>
              <w:t>'Strep_pneumoniae_non_PCV13',</w:t>
            </w:r>
            <w:r w:rsidRPr="0020060C">
              <w:br/>
              <w:t>'Hib', 'H.influenzae_non_type_b',</w:t>
            </w:r>
          </w:p>
          <w:p w14:paraId="5C1A728C" w14:textId="77777777" w:rsidR="000979B2" w:rsidRPr="0009125F" w:rsidRDefault="000979B2" w:rsidP="000979B2">
            <w:pPr>
              <w:pStyle w:val="NoSpacing"/>
              <w:rPr>
                <w:rFonts w:eastAsiaTheme="minorHAnsi"/>
              </w:rPr>
            </w:pPr>
            <w:r w:rsidRPr="0020060C">
              <w:t>'Staph_aureus', 'Enterobacteriaceae', 'other_Strepto_Enterococci', 'other_bacterial_pathogens'</w:t>
            </w:r>
          </w:p>
        </w:tc>
        <w:tc>
          <w:tcPr>
            <w:tcW w:w="3260" w:type="dxa"/>
          </w:tcPr>
          <w:p w14:paraId="7DA940B8" w14:textId="77777777" w:rsidR="000979B2" w:rsidRPr="0009125F" w:rsidRDefault="000979B2" w:rsidP="000979B2">
            <w:pPr>
              <w:pStyle w:val="NoSpacing"/>
              <w:rPr>
                <w:rFonts w:eastAsiaTheme="minorHAnsi"/>
              </w:rPr>
            </w:pPr>
            <w:r w:rsidRPr="0009125F">
              <w:rPr>
                <w:rFonts w:eastAsiaTheme="minorHAnsi"/>
              </w:rPr>
              <w:t>Secondary bacterial co-infection pathogens</w:t>
            </w:r>
          </w:p>
        </w:tc>
      </w:tr>
      <w:tr w:rsidR="000979B2" w:rsidRPr="0009125F" w14:paraId="4BCA87E6" w14:textId="77777777" w:rsidTr="000979B2">
        <w:trPr>
          <w:trHeight w:val="706"/>
        </w:trPr>
        <w:tc>
          <w:tcPr>
            <w:tcW w:w="2972" w:type="dxa"/>
            <w:shd w:val="clear" w:color="auto" w:fill="EDEDED" w:themeFill="accent3" w:themeFillTint="33"/>
          </w:tcPr>
          <w:p w14:paraId="5AFB198A" w14:textId="77777777" w:rsidR="000979B2" w:rsidRPr="0009125F" w:rsidRDefault="000979B2" w:rsidP="000979B2">
            <w:pPr>
              <w:pStyle w:val="NoSpacing"/>
              <w:rPr>
                <w:rFonts w:eastAsiaTheme="minorHAnsi"/>
              </w:rPr>
            </w:pPr>
            <w:r w:rsidRPr="0009125F">
              <w:rPr>
                <w:rFonts w:eastAsiaTheme="minorHAnsi"/>
              </w:rPr>
              <w:t>ri_ALRI_disease_type</w:t>
            </w:r>
          </w:p>
        </w:tc>
        <w:tc>
          <w:tcPr>
            <w:tcW w:w="4111" w:type="dxa"/>
          </w:tcPr>
          <w:p w14:paraId="6E0FA270" w14:textId="77777777" w:rsidR="000979B2" w:rsidRPr="0009125F" w:rsidRDefault="000979B2" w:rsidP="000979B2">
            <w:pPr>
              <w:pStyle w:val="NoSpacing"/>
              <w:rPr>
                <w:rFonts w:eastAsiaTheme="minorHAnsi"/>
              </w:rPr>
            </w:pPr>
            <w:r w:rsidRPr="0009125F">
              <w:rPr>
                <w:rFonts w:eastAsiaTheme="minorHAnsi"/>
              </w:rPr>
              <w:t>Categorical</w:t>
            </w:r>
          </w:p>
          <w:p w14:paraId="68D7A4B0" w14:textId="77777777" w:rsidR="000979B2" w:rsidRPr="0009125F" w:rsidRDefault="000979B2" w:rsidP="000979B2">
            <w:pPr>
              <w:pStyle w:val="NoSpacing"/>
              <w:rPr>
                <w:rFonts w:eastAsiaTheme="minorHAnsi"/>
              </w:rPr>
            </w:pPr>
            <w:r w:rsidRPr="0009125F">
              <w:rPr>
                <w:rFonts w:eastAsiaTheme="minorHAnsi"/>
              </w:rPr>
              <w:t>‘viral pneumonia’,  ‘bacterial pneumonia’, ‘bronchiolitis’</w:t>
            </w:r>
            <w:r>
              <w:rPr>
                <w:rFonts w:eastAsiaTheme="minorHAnsi"/>
              </w:rPr>
              <w:t xml:space="preserve"> + ['none']</w:t>
            </w:r>
          </w:p>
        </w:tc>
        <w:tc>
          <w:tcPr>
            <w:tcW w:w="3260" w:type="dxa"/>
          </w:tcPr>
          <w:p w14:paraId="33D5D379" w14:textId="77777777" w:rsidR="000979B2" w:rsidRDefault="000979B2" w:rsidP="000979B2">
            <w:pPr>
              <w:pStyle w:val="NoSpacing"/>
              <w:rPr>
                <w:rFonts w:eastAsiaTheme="minorHAnsi"/>
              </w:rPr>
            </w:pPr>
            <w:r>
              <w:rPr>
                <w:rFonts w:eastAsiaTheme="minorHAnsi"/>
              </w:rPr>
              <w:t>ALRI is divided into:</w:t>
            </w:r>
          </w:p>
          <w:p w14:paraId="2D1E9323" w14:textId="77777777" w:rsidR="000979B2" w:rsidRDefault="000979B2" w:rsidP="000979B2">
            <w:pPr>
              <w:pStyle w:val="NoSpacing"/>
              <w:rPr>
                <w:rFonts w:eastAsiaTheme="minorHAnsi"/>
              </w:rPr>
            </w:pPr>
            <w:r w:rsidRPr="0009125F">
              <w:rPr>
                <w:rFonts w:eastAsiaTheme="minorHAnsi"/>
              </w:rPr>
              <w:t>primary viral</w:t>
            </w:r>
            <w:r>
              <w:rPr>
                <w:rFonts w:eastAsiaTheme="minorHAnsi"/>
              </w:rPr>
              <w:t xml:space="preserve"> pneumonia</w:t>
            </w:r>
            <w:r w:rsidRPr="0009125F">
              <w:rPr>
                <w:rFonts w:eastAsiaTheme="minorHAnsi"/>
              </w:rPr>
              <w:t xml:space="preserve">, </w:t>
            </w:r>
          </w:p>
          <w:p w14:paraId="08FF78D0" w14:textId="77777777" w:rsidR="000979B2" w:rsidRPr="0009125F" w:rsidRDefault="000979B2" w:rsidP="000979B2">
            <w:pPr>
              <w:pStyle w:val="NoSpacing"/>
              <w:rPr>
                <w:rFonts w:eastAsiaTheme="minorHAnsi"/>
              </w:rPr>
            </w:pPr>
            <w:r w:rsidRPr="0009125F">
              <w:rPr>
                <w:rFonts w:eastAsiaTheme="minorHAnsi"/>
              </w:rPr>
              <w:t xml:space="preserve">primary </w:t>
            </w:r>
            <w:r>
              <w:rPr>
                <w:rFonts w:eastAsiaTheme="minorHAnsi"/>
              </w:rPr>
              <w:t>or secondary</w:t>
            </w:r>
            <w:r w:rsidRPr="0009125F">
              <w:rPr>
                <w:rFonts w:eastAsiaTheme="minorHAnsi"/>
              </w:rPr>
              <w:t xml:space="preserve"> bacterial</w:t>
            </w:r>
            <w:r>
              <w:rPr>
                <w:rFonts w:eastAsiaTheme="minorHAnsi"/>
              </w:rPr>
              <w:t xml:space="preserve"> pneumonia, and viral bronchiolitis</w:t>
            </w:r>
          </w:p>
        </w:tc>
      </w:tr>
      <w:tr w:rsidR="000979B2" w:rsidRPr="0009125F" w14:paraId="6EF00A39" w14:textId="77777777" w:rsidTr="000979B2">
        <w:trPr>
          <w:trHeight w:val="706"/>
        </w:trPr>
        <w:tc>
          <w:tcPr>
            <w:tcW w:w="2972" w:type="dxa"/>
            <w:shd w:val="clear" w:color="auto" w:fill="EDEDED" w:themeFill="accent3" w:themeFillTint="33"/>
          </w:tcPr>
          <w:p w14:paraId="33CC4F35" w14:textId="77777777" w:rsidR="000979B2" w:rsidRPr="0009125F" w:rsidRDefault="000979B2" w:rsidP="000979B2">
            <w:pPr>
              <w:pStyle w:val="NoSpacing"/>
              <w:rPr>
                <w:rFonts w:eastAsiaTheme="minorHAnsi"/>
              </w:rPr>
            </w:pPr>
            <w:r w:rsidRPr="0009125F">
              <w:rPr>
                <w:rFonts w:eastAsiaTheme="minorHAnsi"/>
              </w:rPr>
              <w:t>ri_ALRI_complications</w:t>
            </w:r>
          </w:p>
        </w:tc>
        <w:tc>
          <w:tcPr>
            <w:tcW w:w="4111" w:type="dxa"/>
          </w:tcPr>
          <w:p w14:paraId="40077720" w14:textId="77777777" w:rsidR="000979B2" w:rsidRPr="0009125F" w:rsidRDefault="000979B2" w:rsidP="000979B2">
            <w:pPr>
              <w:pStyle w:val="NoSpacing"/>
              <w:rPr>
                <w:rFonts w:eastAsiaTheme="minorHAnsi"/>
              </w:rPr>
            </w:pPr>
            <w:r w:rsidRPr="0009125F">
              <w:rPr>
                <w:rFonts w:eastAsiaTheme="minorHAnsi"/>
              </w:rPr>
              <w:t>List</w:t>
            </w:r>
          </w:p>
          <w:p w14:paraId="7971DC6A" w14:textId="77777777" w:rsidR="000979B2" w:rsidRPr="0009125F" w:rsidRDefault="000979B2" w:rsidP="000979B2">
            <w:pPr>
              <w:pStyle w:val="NoSpacing"/>
              <w:rPr>
                <w:rFonts w:eastAsiaTheme="minorHAnsi"/>
              </w:rPr>
            </w:pPr>
            <w:r w:rsidRPr="0009125F">
              <w:rPr>
                <w:rFonts w:eastAsiaTheme="minorHAnsi"/>
              </w:rPr>
              <w:t xml:space="preserve">[pneumothorax, pleural effusion, empyema, lung abscess; </w:t>
            </w:r>
          </w:p>
          <w:p w14:paraId="2021CDE3" w14:textId="77777777" w:rsidR="000979B2" w:rsidRPr="0009125F" w:rsidRDefault="000979B2" w:rsidP="000979B2">
            <w:pPr>
              <w:pStyle w:val="NoSpacing"/>
              <w:rPr>
                <w:rFonts w:eastAsiaTheme="minorHAnsi"/>
              </w:rPr>
            </w:pPr>
            <w:r w:rsidRPr="0009125F">
              <w:rPr>
                <w:rFonts w:eastAsiaTheme="minorHAnsi"/>
              </w:rPr>
              <w:t>sepsis, meningitis;</w:t>
            </w:r>
          </w:p>
          <w:p w14:paraId="4BE44F36" w14:textId="77777777" w:rsidR="000979B2" w:rsidRDefault="000979B2" w:rsidP="000979B2">
            <w:pPr>
              <w:pStyle w:val="NoSpacing"/>
              <w:rPr>
                <w:rFonts w:eastAsiaTheme="minorHAnsi"/>
              </w:rPr>
            </w:pPr>
            <w:r w:rsidRPr="0009125F">
              <w:rPr>
                <w:rFonts w:eastAsiaTheme="minorHAnsi"/>
              </w:rPr>
              <w:t xml:space="preserve">respiratory failure, multi-organ failure] </w:t>
            </w:r>
          </w:p>
          <w:p w14:paraId="10BFAAFA" w14:textId="77777777" w:rsidR="000979B2" w:rsidRPr="0009125F" w:rsidRDefault="000979B2" w:rsidP="000979B2">
            <w:pPr>
              <w:pStyle w:val="NoSpacing"/>
              <w:rPr>
                <w:rFonts w:eastAsiaTheme="minorHAnsi"/>
              </w:rPr>
            </w:pPr>
            <w:r w:rsidRPr="0009125F">
              <w:rPr>
                <w:rFonts w:eastAsiaTheme="minorHAnsi"/>
              </w:rPr>
              <w:t>+ no complications</w:t>
            </w:r>
            <w:r>
              <w:rPr>
                <w:rFonts w:eastAsiaTheme="minorHAnsi"/>
              </w:rPr>
              <w:t xml:space="preserve"> + </w:t>
            </w:r>
            <w:r w:rsidRPr="00754F5C">
              <w:rPr>
                <w:rFonts w:eastAsiaTheme="minorHAnsi"/>
              </w:rPr>
              <w:t>['not_applicable']</w:t>
            </w:r>
          </w:p>
        </w:tc>
        <w:tc>
          <w:tcPr>
            <w:tcW w:w="3260" w:type="dxa"/>
          </w:tcPr>
          <w:p w14:paraId="240F02ED" w14:textId="77777777" w:rsidR="000979B2" w:rsidRPr="0009125F" w:rsidRDefault="000979B2" w:rsidP="000979B2">
            <w:pPr>
              <w:pStyle w:val="NoSpacing"/>
              <w:rPr>
                <w:rFonts w:eastAsiaTheme="minorHAnsi"/>
              </w:rPr>
            </w:pPr>
            <w:r w:rsidRPr="0009125F">
              <w:rPr>
                <w:rFonts w:eastAsiaTheme="minorHAnsi"/>
              </w:rPr>
              <w:t xml:space="preserve">Complications associated with </w:t>
            </w:r>
            <w:r>
              <w:rPr>
                <w:rFonts w:eastAsiaTheme="minorHAnsi"/>
              </w:rPr>
              <w:t>ALRI</w:t>
            </w:r>
            <w:r w:rsidRPr="0009125F">
              <w:rPr>
                <w:rFonts w:eastAsiaTheme="minorHAnsi"/>
              </w:rPr>
              <w:t xml:space="preserve"> </w:t>
            </w:r>
            <w:r>
              <w:rPr>
                <w:rFonts w:eastAsiaTheme="minorHAnsi"/>
              </w:rPr>
              <w:t>event</w:t>
            </w:r>
          </w:p>
        </w:tc>
      </w:tr>
      <w:tr w:rsidR="000979B2" w:rsidRPr="0009125F" w14:paraId="5A88DA84" w14:textId="77777777" w:rsidTr="000979B2">
        <w:trPr>
          <w:trHeight w:val="264"/>
        </w:trPr>
        <w:tc>
          <w:tcPr>
            <w:tcW w:w="2972" w:type="dxa"/>
            <w:shd w:val="clear" w:color="auto" w:fill="EDEDED" w:themeFill="accent3" w:themeFillTint="33"/>
          </w:tcPr>
          <w:p w14:paraId="09C51B88" w14:textId="77777777" w:rsidR="000979B2" w:rsidRDefault="000979B2" w:rsidP="000979B2">
            <w:pPr>
              <w:pStyle w:val="NoSpacing"/>
            </w:pPr>
            <w:r>
              <w:t>ri_current_ALRI_symptoms</w:t>
            </w:r>
          </w:p>
        </w:tc>
        <w:tc>
          <w:tcPr>
            <w:tcW w:w="4111" w:type="dxa"/>
          </w:tcPr>
          <w:p w14:paraId="69BDD665" w14:textId="77777777" w:rsidR="000979B2" w:rsidRDefault="000979B2" w:rsidP="000979B2">
            <w:pPr>
              <w:pStyle w:val="NoSpacing"/>
            </w:pPr>
            <w:r w:rsidRPr="001B79C6">
              <w:t>'fever', 'cough'</w:t>
            </w:r>
            <w:r>
              <w:t>, ‘</w:t>
            </w:r>
            <w:r w:rsidRPr="001B79C6">
              <w:t>difficult_breathing', 'convulsions', 'lethargy', 'not_eating',</w:t>
            </w:r>
            <w:r>
              <w:t xml:space="preserve"> </w:t>
            </w:r>
            <w:r w:rsidRPr="001B79C6">
              <w:t>'restlessness', 'bulging_fontanel',</w:t>
            </w:r>
            <w:r>
              <w:t xml:space="preserve"> </w:t>
            </w:r>
            <w:r w:rsidRPr="001B79C6">
              <w:t>'fast_breathing', 'chest_indrawing', 'grunting', 'chest_pain', 'loss_of_appetite',</w:t>
            </w:r>
            <w:r w:rsidRPr="001B79C6">
              <w:br/>
              <w:t>'photophobia', 'nuchal_rigidity',</w:t>
            </w:r>
            <w:r w:rsidRPr="001B79C6">
              <w:br/>
              <w:t>'cyanosis', 'respiratory_distress', 'hypoxia', 'tachypnoea', 'cough_with_sputum',</w:t>
            </w:r>
            <w:r w:rsidRPr="001B79C6">
              <w:br/>
              <w:t>'weight_loss', 'nausea',</w:t>
            </w:r>
            <w:r w:rsidRPr="001B79C6">
              <w:br/>
              <w:t xml:space="preserve">'hemoptysis', 'tachycardia', 'decreased_chest_movement', 'fatigue', </w:t>
            </w:r>
            <w:r>
              <w:t>‘</w:t>
            </w:r>
            <w:r w:rsidRPr="001B79C6">
              <w:t>no_urination_in_last_12h',</w:t>
            </w:r>
            <w:r w:rsidRPr="001B79C6">
              <w:br/>
              <w:t>'hemoptysis',</w:t>
            </w:r>
            <w:r>
              <w:t xml:space="preserve"> </w:t>
            </w:r>
            <w:r w:rsidRPr="001B79C6">
              <w:t>'danger_signs'</w:t>
            </w:r>
            <w:r>
              <w:t xml:space="preserve"> </w:t>
            </w:r>
          </w:p>
          <w:p w14:paraId="32D6BE0E" w14:textId="77777777" w:rsidR="000979B2" w:rsidRPr="0009125F" w:rsidRDefault="000979B2" w:rsidP="000979B2">
            <w:pPr>
              <w:pStyle w:val="NoSpacing"/>
            </w:pPr>
            <w:r w:rsidRPr="00754F5C">
              <w:t>+ ['not_applicable']</w:t>
            </w:r>
          </w:p>
        </w:tc>
        <w:tc>
          <w:tcPr>
            <w:tcW w:w="3260" w:type="dxa"/>
          </w:tcPr>
          <w:p w14:paraId="7345DEFF" w14:textId="77777777" w:rsidR="000979B2" w:rsidRPr="0009125F" w:rsidRDefault="000979B2" w:rsidP="000979B2">
            <w:pPr>
              <w:pStyle w:val="NoSpacing"/>
            </w:pPr>
            <w:r>
              <w:t>List of symptoms of the current ALRI event</w:t>
            </w:r>
          </w:p>
        </w:tc>
      </w:tr>
      <w:tr w:rsidR="000979B2" w:rsidRPr="0009125F" w14:paraId="7BD106C8" w14:textId="77777777" w:rsidTr="000979B2">
        <w:trPr>
          <w:trHeight w:val="264"/>
        </w:trPr>
        <w:tc>
          <w:tcPr>
            <w:tcW w:w="2972" w:type="dxa"/>
            <w:shd w:val="clear" w:color="auto" w:fill="FFF2CC" w:themeFill="accent4" w:themeFillTint="33"/>
          </w:tcPr>
          <w:p w14:paraId="4F33D9C9" w14:textId="77777777" w:rsidR="000979B2" w:rsidRDefault="000979B2" w:rsidP="000979B2">
            <w:pPr>
              <w:pStyle w:val="NoSpacing"/>
            </w:pPr>
            <w:r>
              <w:rPr>
                <w:rFonts w:eastAsiaTheme="minorHAnsi"/>
              </w:rPr>
              <w:t>ri</w:t>
            </w:r>
            <w:r w:rsidRPr="0009125F">
              <w:rPr>
                <w:rFonts w:eastAsiaTheme="minorHAnsi"/>
              </w:rPr>
              <w:t>_ALRI_date_of_onset</w:t>
            </w:r>
          </w:p>
        </w:tc>
        <w:tc>
          <w:tcPr>
            <w:tcW w:w="4111" w:type="dxa"/>
          </w:tcPr>
          <w:p w14:paraId="1336DA13" w14:textId="77777777" w:rsidR="000979B2" w:rsidRPr="001B79C6" w:rsidRDefault="000979B2" w:rsidP="000979B2">
            <w:pPr>
              <w:pStyle w:val="NoSpacing"/>
            </w:pPr>
            <w:r w:rsidRPr="0009125F">
              <w:rPr>
                <w:rFonts w:eastAsiaTheme="minorHAnsi"/>
              </w:rPr>
              <w:t>Date</w:t>
            </w:r>
          </w:p>
        </w:tc>
        <w:tc>
          <w:tcPr>
            <w:tcW w:w="3260" w:type="dxa"/>
          </w:tcPr>
          <w:p w14:paraId="3A58CD84" w14:textId="77777777" w:rsidR="000979B2" w:rsidRDefault="000979B2" w:rsidP="000979B2">
            <w:pPr>
              <w:pStyle w:val="NoSpacing"/>
            </w:pPr>
            <w:r w:rsidRPr="0009125F">
              <w:rPr>
                <w:rFonts w:eastAsiaTheme="minorHAnsi"/>
              </w:rPr>
              <w:t xml:space="preserve">Date of onset of </w:t>
            </w:r>
            <w:r>
              <w:rPr>
                <w:rFonts w:eastAsiaTheme="minorHAnsi"/>
              </w:rPr>
              <w:t>the last/ or current ALRI</w:t>
            </w:r>
            <w:r w:rsidRPr="0009125F">
              <w:rPr>
                <w:rFonts w:eastAsiaTheme="minorHAnsi"/>
              </w:rPr>
              <w:t xml:space="preserve"> symptoms</w:t>
            </w:r>
          </w:p>
        </w:tc>
      </w:tr>
      <w:tr w:rsidR="000979B2" w:rsidRPr="0009125F" w14:paraId="2338A5CD" w14:textId="77777777" w:rsidTr="000979B2">
        <w:trPr>
          <w:trHeight w:val="264"/>
        </w:trPr>
        <w:tc>
          <w:tcPr>
            <w:tcW w:w="2972" w:type="dxa"/>
            <w:shd w:val="clear" w:color="auto" w:fill="FFF2CC" w:themeFill="accent4" w:themeFillTint="33"/>
          </w:tcPr>
          <w:p w14:paraId="1CFE31F3" w14:textId="77777777" w:rsidR="000979B2" w:rsidRPr="0009125F" w:rsidRDefault="000979B2" w:rsidP="000979B2">
            <w:pPr>
              <w:pStyle w:val="NoSpacing"/>
              <w:rPr>
                <w:rFonts w:eastAsiaTheme="minorHAnsi"/>
              </w:rPr>
            </w:pPr>
            <w:r>
              <w:rPr>
                <w:rFonts w:eastAsiaTheme="minorHAnsi"/>
              </w:rPr>
              <w:t>ri</w:t>
            </w:r>
            <w:r w:rsidRPr="0009125F">
              <w:rPr>
                <w:rFonts w:eastAsiaTheme="minorHAnsi"/>
              </w:rPr>
              <w:t>_ALRI_</w:t>
            </w:r>
            <w:r>
              <w:rPr>
                <w:rFonts w:eastAsiaTheme="minorHAnsi"/>
              </w:rPr>
              <w:t>recovered_date</w:t>
            </w:r>
          </w:p>
        </w:tc>
        <w:tc>
          <w:tcPr>
            <w:tcW w:w="4111" w:type="dxa"/>
          </w:tcPr>
          <w:p w14:paraId="5ECF0487" w14:textId="77777777" w:rsidR="000979B2" w:rsidRPr="0009125F" w:rsidRDefault="000979B2" w:rsidP="000979B2">
            <w:pPr>
              <w:pStyle w:val="NoSpacing"/>
              <w:rPr>
                <w:rFonts w:eastAsiaTheme="minorHAnsi"/>
              </w:rPr>
            </w:pPr>
            <w:r>
              <w:t>Date</w:t>
            </w:r>
          </w:p>
        </w:tc>
        <w:tc>
          <w:tcPr>
            <w:tcW w:w="3260" w:type="dxa"/>
          </w:tcPr>
          <w:p w14:paraId="46ED934C" w14:textId="77777777" w:rsidR="000979B2" w:rsidRPr="0009125F" w:rsidRDefault="000979B2" w:rsidP="000979B2">
            <w:pPr>
              <w:pStyle w:val="NoSpacing"/>
              <w:rPr>
                <w:rFonts w:eastAsiaTheme="minorHAnsi"/>
              </w:rPr>
            </w:pPr>
            <w:r>
              <w:rPr>
                <w:rFonts w:eastAsiaTheme="minorHAnsi"/>
              </w:rPr>
              <w:t>Date of recovery and resolve of symptoms</w:t>
            </w:r>
          </w:p>
        </w:tc>
      </w:tr>
      <w:tr w:rsidR="000979B2" w:rsidRPr="0009125F" w14:paraId="32EBFA3B" w14:textId="77777777" w:rsidTr="000979B2">
        <w:trPr>
          <w:trHeight w:val="264"/>
        </w:trPr>
        <w:tc>
          <w:tcPr>
            <w:tcW w:w="2972" w:type="dxa"/>
            <w:shd w:val="clear" w:color="auto" w:fill="FFF2CC" w:themeFill="accent4" w:themeFillTint="33"/>
          </w:tcPr>
          <w:p w14:paraId="4F3D5F1F" w14:textId="77777777" w:rsidR="000979B2" w:rsidRDefault="000979B2" w:rsidP="000979B2">
            <w:pPr>
              <w:pStyle w:val="NoSpacing"/>
            </w:pPr>
            <w:r w:rsidRPr="0009125F">
              <w:rPr>
                <w:rFonts w:eastAsiaTheme="minorHAnsi"/>
              </w:rPr>
              <w:t>ri_ALRI_</w:t>
            </w:r>
            <w:r>
              <w:rPr>
                <w:rFonts w:eastAsiaTheme="minorHAnsi"/>
              </w:rPr>
              <w:t>severe_complication</w:t>
            </w:r>
            <w:r w:rsidRPr="0009125F">
              <w:rPr>
                <w:rFonts w:eastAsiaTheme="minorHAnsi"/>
              </w:rPr>
              <w:t>_date</w:t>
            </w:r>
          </w:p>
        </w:tc>
        <w:tc>
          <w:tcPr>
            <w:tcW w:w="4111" w:type="dxa"/>
          </w:tcPr>
          <w:p w14:paraId="00770434" w14:textId="77777777" w:rsidR="000979B2" w:rsidRPr="0009125F" w:rsidRDefault="000979B2" w:rsidP="000979B2">
            <w:pPr>
              <w:pStyle w:val="NoSpacing"/>
            </w:pPr>
            <w:r w:rsidRPr="0009125F">
              <w:rPr>
                <w:rFonts w:eastAsiaTheme="minorHAnsi"/>
              </w:rPr>
              <w:t>Date</w:t>
            </w:r>
          </w:p>
        </w:tc>
        <w:tc>
          <w:tcPr>
            <w:tcW w:w="3260" w:type="dxa"/>
          </w:tcPr>
          <w:p w14:paraId="70E8ED7E" w14:textId="77777777" w:rsidR="000979B2" w:rsidRPr="0009125F" w:rsidRDefault="000979B2" w:rsidP="000979B2">
            <w:pPr>
              <w:pStyle w:val="NoSpacing"/>
            </w:pPr>
            <w:r>
              <w:rPr>
                <w:rFonts w:eastAsiaTheme="minorHAnsi"/>
              </w:rPr>
              <w:t>Date of progression to any severe complication (respiratory failure, sepsis, meningitis) of the current/last episode</w:t>
            </w:r>
          </w:p>
        </w:tc>
      </w:tr>
      <w:tr w:rsidR="000979B2" w:rsidRPr="0009125F" w14:paraId="2E22F08A" w14:textId="77777777" w:rsidTr="000979B2">
        <w:trPr>
          <w:trHeight w:val="264"/>
        </w:trPr>
        <w:tc>
          <w:tcPr>
            <w:tcW w:w="2972" w:type="dxa"/>
            <w:shd w:val="clear" w:color="auto" w:fill="FFF2CC" w:themeFill="accent4" w:themeFillTint="33"/>
          </w:tcPr>
          <w:p w14:paraId="21EB6767" w14:textId="77777777" w:rsidR="000979B2" w:rsidRPr="0009125F" w:rsidRDefault="000979B2" w:rsidP="000979B2">
            <w:pPr>
              <w:pStyle w:val="NoSpacing"/>
              <w:rPr>
                <w:rFonts w:eastAsiaTheme="minorHAnsi"/>
              </w:rPr>
            </w:pPr>
            <w:r>
              <w:rPr>
                <w:rFonts w:eastAsiaTheme="minorHAnsi"/>
              </w:rPr>
              <w:t>ri_</w:t>
            </w:r>
            <w:r w:rsidRPr="0009125F">
              <w:rPr>
                <w:rFonts w:eastAsiaTheme="minorHAnsi"/>
              </w:rPr>
              <w:t>ALRI_death_date</w:t>
            </w:r>
          </w:p>
        </w:tc>
        <w:tc>
          <w:tcPr>
            <w:tcW w:w="4111" w:type="dxa"/>
          </w:tcPr>
          <w:p w14:paraId="5EEA9636" w14:textId="77777777" w:rsidR="000979B2" w:rsidRPr="0009125F" w:rsidRDefault="000979B2" w:rsidP="000979B2">
            <w:pPr>
              <w:pStyle w:val="NoSpacing"/>
              <w:rPr>
                <w:rFonts w:eastAsiaTheme="minorHAnsi"/>
              </w:rPr>
            </w:pPr>
            <w:r w:rsidRPr="0009125F">
              <w:rPr>
                <w:rFonts w:eastAsiaTheme="minorHAnsi"/>
              </w:rPr>
              <w:t>Date</w:t>
            </w:r>
          </w:p>
        </w:tc>
        <w:tc>
          <w:tcPr>
            <w:tcW w:w="3260" w:type="dxa"/>
          </w:tcPr>
          <w:p w14:paraId="68916D82" w14:textId="77777777" w:rsidR="000979B2" w:rsidRPr="0009125F" w:rsidRDefault="000979B2" w:rsidP="000979B2">
            <w:pPr>
              <w:pStyle w:val="NoSpacing"/>
              <w:rPr>
                <w:rFonts w:eastAsiaTheme="minorHAnsi"/>
              </w:rPr>
            </w:pPr>
            <w:r w:rsidRPr="0009125F">
              <w:rPr>
                <w:rFonts w:eastAsiaTheme="minorHAnsi"/>
              </w:rPr>
              <w:t xml:space="preserve">Date of death from </w:t>
            </w:r>
            <w:r>
              <w:rPr>
                <w:rFonts w:eastAsiaTheme="minorHAnsi"/>
              </w:rPr>
              <w:t>ALRI</w:t>
            </w:r>
          </w:p>
        </w:tc>
      </w:tr>
      <w:tr w:rsidR="000979B2" w:rsidRPr="0009125F" w14:paraId="15FD44C2" w14:textId="77777777" w:rsidTr="000979B2">
        <w:trPr>
          <w:trHeight w:val="264"/>
        </w:trPr>
        <w:tc>
          <w:tcPr>
            <w:tcW w:w="2972" w:type="dxa"/>
            <w:shd w:val="clear" w:color="auto" w:fill="DEEAF6" w:themeFill="accent1" w:themeFillTint="33"/>
          </w:tcPr>
          <w:p w14:paraId="0D72AF95" w14:textId="77777777" w:rsidR="000979B2" w:rsidRPr="0009125F" w:rsidRDefault="000979B2" w:rsidP="000979B2">
            <w:pPr>
              <w:pStyle w:val="NoSpacing"/>
              <w:rPr>
                <w:rFonts w:eastAsiaTheme="minorHAnsi"/>
              </w:rPr>
            </w:pPr>
            <w:r w:rsidRPr="001B79C6">
              <w:t>ri_ALRI_tx_start_date</w:t>
            </w:r>
          </w:p>
        </w:tc>
        <w:tc>
          <w:tcPr>
            <w:tcW w:w="4111" w:type="dxa"/>
          </w:tcPr>
          <w:p w14:paraId="03C6AB9E" w14:textId="77777777" w:rsidR="000979B2" w:rsidRPr="0009125F" w:rsidRDefault="000979B2" w:rsidP="000979B2">
            <w:pPr>
              <w:pStyle w:val="NoSpacing"/>
              <w:rPr>
                <w:rFonts w:eastAsiaTheme="minorHAnsi"/>
              </w:rPr>
            </w:pPr>
            <w:r>
              <w:t xml:space="preserve">Date </w:t>
            </w:r>
          </w:p>
        </w:tc>
        <w:tc>
          <w:tcPr>
            <w:tcW w:w="3260" w:type="dxa"/>
          </w:tcPr>
          <w:p w14:paraId="77B2809F" w14:textId="77777777" w:rsidR="000979B2" w:rsidRPr="0009125F" w:rsidRDefault="000979B2" w:rsidP="000979B2">
            <w:pPr>
              <w:pStyle w:val="NoSpacing"/>
              <w:rPr>
                <w:rFonts w:eastAsiaTheme="minorHAnsi"/>
              </w:rPr>
            </w:pPr>
            <w:r>
              <w:rPr>
                <w:rFonts w:eastAsiaTheme="minorHAnsi"/>
              </w:rPr>
              <w:t>Date of treatment start</w:t>
            </w:r>
          </w:p>
        </w:tc>
      </w:tr>
      <w:tr w:rsidR="000979B2" w:rsidRPr="0009125F" w14:paraId="7FA78C02" w14:textId="77777777" w:rsidTr="000979B2">
        <w:trPr>
          <w:trHeight w:val="264"/>
        </w:trPr>
        <w:tc>
          <w:tcPr>
            <w:tcW w:w="2972" w:type="dxa"/>
            <w:shd w:val="clear" w:color="auto" w:fill="DEEAF6" w:themeFill="accent1" w:themeFillTint="33"/>
          </w:tcPr>
          <w:p w14:paraId="304376A8" w14:textId="77777777" w:rsidR="000979B2" w:rsidRDefault="000979B2" w:rsidP="000979B2">
            <w:pPr>
              <w:pStyle w:val="NoSpacing"/>
            </w:pPr>
            <w:r w:rsidRPr="001B79C6">
              <w:t>ri_ALRI_antibiotic_treatment_administered</w:t>
            </w:r>
          </w:p>
        </w:tc>
        <w:tc>
          <w:tcPr>
            <w:tcW w:w="4111" w:type="dxa"/>
          </w:tcPr>
          <w:p w14:paraId="272BDD01" w14:textId="77777777" w:rsidR="000979B2" w:rsidRDefault="000979B2" w:rsidP="000979B2">
            <w:pPr>
              <w:pStyle w:val="NoSpacing"/>
            </w:pPr>
            <w:r>
              <w:t>Categorical</w:t>
            </w:r>
          </w:p>
          <w:p w14:paraId="58CA3E43" w14:textId="77777777" w:rsidR="000979B2" w:rsidRPr="0009125F" w:rsidRDefault="000979B2" w:rsidP="000979B2">
            <w:pPr>
              <w:pStyle w:val="NoSpacing"/>
            </w:pPr>
            <w:r w:rsidRPr="001B79C6">
              <w:t>'benzyl penicillin injection', 'amoxicillin', 'cotrimoxazole', 'other_antibiotic',            'chlorampheniciol', 'prednisolone'</w:t>
            </w:r>
          </w:p>
        </w:tc>
        <w:tc>
          <w:tcPr>
            <w:tcW w:w="3260" w:type="dxa"/>
          </w:tcPr>
          <w:p w14:paraId="61C37471" w14:textId="77777777" w:rsidR="000979B2" w:rsidRPr="001B79C6" w:rsidRDefault="000979B2" w:rsidP="000979B2">
            <w:pPr>
              <w:pStyle w:val="NoSpacing"/>
            </w:pPr>
            <w:r w:rsidRPr="001B79C6">
              <w:t>Antibiotic treatment given for the ALRI</w:t>
            </w:r>
          </w:p>
          <w:p w14:paraId="225706AB" w14:textId="77777777" w:rsidR="000979B2" w:rsidRPr="0009125F" w:rsidRDefault="000979B2" w:rsidP="000979B2">
            <w:pPr>
              <w:pStyle w:val="NoSpacing"/>
            </w:pPr>
          </w:p>
        </w:tc>
      </w:tr>
      <w:tr w:rsidR="000979B2" w:rsidRPr="0009125F" w14:paraId="506BEFEC" w14:textId="77777777" w:rsidTr="000979B2">
        <w:trPr>
          <w:trHeight w:val="264"/>
        </w:trPr>
        <w:tc>
          <w:tcPr>
            <w:tcW w:w="2972" w:type="dxa"/>
            <w:shd w:val="clear" w:color="auto" w:fill="DEEAF6" w:themeFill="accent1" w:themeFillTint="33"/>
          </w:tcPr>
          <w:p w14:paraId="59B32A47" w14:textId="77777777" w:rsidR="000979B2" w:rsidRDefault="000979B2" w:rsidP="000979B2">
            <w:pPr>
              <w:pStyle w:val="NoSpacing"/>
            </w:pPr>
            <w:r w:rsidRPr="001B79C6">
              <w:t>ri_peripheral_oxygen_saturation</w:t>
            </w:r>
          </w:p>
        </w:tc>
        <w:tc>
          <w:tcPr>
            <w:tcW w:w="4111" w:type="dxa"/>
          </w:tcPr>
          <w:p w14:paraId="4969C1E1" w14:textId="77777777" w:rsidR="000979B2" w:rsidRDefault="000979B2" w:rsidP="000979B2">
            <w:pPr>
              <w:pStyle w:val="NoSpacing"/>
            </w:pPr>
            <w:r>
              <w:t>Categorical</w:t>
            </w:r>
          </w:p>
          <w:p w14:paraId="793FB7A4" w14:textId="77777777" w:rsidR="000979B2" w:rsidRPr="0009125F" w:rsidRDefault="000979B2" w:rsidP="000979B2">
            <w:pPr>
              <w:pStyle w:val="NoSpacing"/>
            </w:pPr>
            <w:r w:rsidRPr="001B79C6">
              <w:t>'SpO2&lt;90%', 'SpO2_90-92%', 'SpO2&gt;92%'</w:t>
            </w:r>
          </w:p>
        </w:tc>
        <w:tc>
          <w:tcPr>
            <w:tcW w:w="3260" w:type="dxa"/>
          </w:tcPr>
          <w:p w14:paraId="1C7505CB" w14:textId="77777777" w:rsidR="000979B2" w:rsidRPr="0009125F" w:rsidRDefault="000979B2" w:rsidP="000979B2">
            <w:pPr>
              <w:pStyle w:val="NoSpacing"/>
            </w:pPr>
            <w:r w:rsidRPr="001B79C6">
              <w:t>Level of peripheral oxygen saturation to be read by a pulse oximetry</w:t>
            </w:r>
          </w:p>
        </w:tc>
      </w:tr>
      <w:tr w:rsidR="000979B2" w:rsidRPr="0009125F" w14:paraId="1736FEC3" w14:textId="77777777" w:rsidTr="000979B2">
        <w:trPr>
          <w:trHeight w:val="264"/>
        </w:trPr>
        <w:tc>
          <w:tcPr>
            <w:tcW w:w="2972" w:type="dxa"/>
            <w:shd w:val="clear" w:color="auto" w:fill="DEEAF6" w:themeFill="accent1" w:themeFillTint="33"/>
          </w:tcPr>
          <w:p w14:paraId="57E00CE5" w14:textId="77777777" w:rsidR="000979B2" w:rsidRDefault="000979B2" w:rsidP="000979B2">
            <w:pPr>
              <w:pStyle w:val="NoSpacing"/>
            </w:pPr>
            <w:r>
              <w:t>ri_chest_auscultations_signs</w:t>
            </w:r>
          </w:p>
        </w:tc>
        <w:tc>
          <w:tcPr>
            <w:tcW w:w="4111" w:type="dxa"/>
          </w:tcPr>
          <w:p w14:paraId="495B9711" w14:textId="77777777" w:rsidR="000979B2" w:rsidRPr="0009125F" w:rsidRDefault="000979B2" w:rsidP="000979B2">
            <w:pPr>
              <w:pStyle w:val="NoSpacing"/>
            </w:pPr>
            <w:r w:rsidRPr="001B79C6">
              <w:t xml:space="preserve">'decreased_breath_sounds', 'bronchial_breaths_sounds', 'crackles', </w:t>
            </w:r>
            <w:r w:rsidRPr="001B79C6">
              <w:lastRenderedPageBreak/>
              <w:t>'wheeze',</w:t>
            </w:r>
            <w:r>
              <w:t xml:space="preserve"> </w:t>
            </w:r>
            <w:r w:rsidRPr="001B79C6">
              <w:t>'abnormal_vocal_resonance', 'pleural_rub'</w:t>
            </w:r>
            <w:r>
              <w:t xml:space="preserve"> </w:t>
            </w:r>
            <w:r w:rsidRPr="00754F5C">
              <w:t>+ ['none'] + ['not_applicable']</w:t>
            </w:r>
          </w:p>
        </w:tc>
        <w:tc>
          <w:tcPr>
            <w:tcW w:w="3260" w:type="dxa"/>
          </w:tcPr>
          <w:p w14:paraId="59BF33E7" w14:textId="77777777" w:rsidR="000979B2" w:rsidRPr="0009125F" w:rsidRDefault="000979B2" w:rsidP="000979B2">
            <w:pPr>
              <w:pStyle w:val="NoSpacing"/>
            </w:pPr>
            <w:r>
              <w:lastRenderedPageBreak/>
              <w:t>Findings during chest auscultation examination</w:t>
            </w:r>
          </w:p>
        </w:tc>
      </w:tr>
      <w:tr w:rsidR="000979B2" w:rsidRPr="0009125F" w14:paraId="2838469C" w14:textId="77777777" w:rsidTr="000979B2">
        <w:trPr>
          <w:trHeight w:val="264"/>
        </w:trPr>
        <w:tc>
          <w:tcPr>
            <w:tcW w:w="2972" w:type="dxa"/>
            <w:shd w:val="clear" w:color="auto" w:fill="DEEAF6" w:themeFill="accent1" w:themeFillTint="33"/>
          </w:tcPr>
          <w:p w14:paraId="33D82A26" w14:textId="77777777" w:rsidR="000979B2" w:rsidRPr="001B79C6" w:rsidRDefault="000979B2" w:rsidP="000979B2">
            <w:pPr>
              <w:pStyle w:val="NoSpacing"/>
            </w:pPr>
            <w:r w:rsidRPr="001B79C6">
              <w:t>oxygen_therapy_given</w:t>
            </w:r>
          </w:p>
        </w:tc>
        <w:tc>
          <w:tcPr>
            <w:tcW w:w="4111" w:type="dxa"/>
          </w:tcPr>
          <w:p w14:paraId="06D5CD33" w14:textId="77777777" w:rsidR="000979B2" w:rsidRDefault="000979B2" w:rsidP="000979B2">
            <w:pPr>
              <w:pStyle w:val="NoSpacing"/>
            </w:pPr>
            <w:r>
              <w:t>Boolean</w:t>
            </w:r>
          </w:p>
          <w:p w14:paraId="532DC563" w14:textId="77777777" w:rsidR="000979B2" w:rsidRDefault="000979B2" w:rsidP="000979B2">
            <w:pPr>
              <w:pStyle w:val="NoSpacing"/>
            </w:pPr>
            <w:r>
              <w:t>(True/False)</w:t>
            </w:r>
          </w:p>
        </w:tc>
        <w:tc>
          <w:tcPr>
            <w:tcW w:w="3260" w:type="dxa"/>
          </w:tcPr>
          <w:p w14:paraId="1DFA5915" w14:textId="77777777" w:rsidR="000979B2" w:rsidRPr="001B79C6" w:rsidRDefault="000979B2" w:rsidP="000979B2">
            <w:pPr>
              <w:pStyle w:val="NoSpacing"/>
            </w:pPr>
            <w:r w:rsidRPr="001B79C6">
              <w:t>Oxygen therapy received at the hospital (for severe cases)</w:t>
            </w:r>
          </w:p>
        </w:tc>
      </w:tr>
    </w:tbl>
    <w:p w14:paraId="11F98932" w14:textId="77777777" w:rsidR="000979B2" w:rsidRPr="003A09E6" w:rsidRDefault="000979B2" w:rsidP="000979B2">
      <w:pPr>
        <w:pStyle w:val="CommentText"/>
        <w:spacing w:line="240" w:lineRule="auto"/>
        <w:ind w:firstLine="0"/>
        <w:rPr>
          <w:sz w:val="19"/>
          <w:szCs w:val="19"/>
        </w:rPr>
      </w:pPr>
      <w:r w:rsidRPr="003A09E6">
        <w:rPr>
          <w:noProof/>
          <w:sz w:val="19"/>
          <w:szCs w:val="19"/>
        </w:rPr>
        <w:t>‘ri_’ stands for respiratory infection – as a prefix representation of properties within the AL</w:t>
      </w:r>
      <w:r w:rsidRPr="003A09E6">
        <w:rPr>
          <w:noProof/>
          <w:sz w:val="19"/>
          <w:szCs w:val="19"/>
          <w:u w:val="single"/>
        </w:rPr>
        <w:t>RI</w:t>
      </w:r>
      <w:r w:rsidRPr="003A09E6">
        <w:rPr>
          <w:noProof/>
          <w:sz w:val="19"/>
          <w:szCs w:val="19"/>
        </w:rPr>
        <w:t xml:space="preserve"> module.</w:t>
      </w:r>
    </w:p>
    <w:p w14:paraId="2D10F152" w14:textId="77777777" w:rsidR="000979B2" w:rsidRDefault="000979B2" w:rsidP="000979B2">
      <w:pPr>
        <w:pStyle w:val="CommentText"/>
        <w:spacing w:line="240" w:lineRule="auto"/>
        <w:ind w:firstLine="0"/>
        <w:rPr>
          <w:noProof/>
          <w:sz w:val="19"/>
          <w:szCs w:val="19"/>
        </w:rPr>
      </w:pPr>
      <w:r w:rsidRPr="003A09E6">
        <w:rPr>
          <w:noProof/>
          <w:sz w:val="19"/>
          <w:szCs w:val="19"/>
        </w:rPr>
        <w:t xml:space="preserve">Assumption: viral/bacterial co-infections will fall under the category </w:t>
      </w:r>
      <w:r>
        <w:rPr>
          <w:noProof/>
          <w:sz w:val="19"/>
          <w:szCs w:val="19"/>
        </w:rPr>
        <w:t xml:space="preserve">‘bacterial pneumonia’ </w:t>
      </w:r>
      <w:r w:rsidRPr="003A09E6">
        <w:rPr>
          <w:noProof/>
          <w:sz w:val="19"/>
          <w:szCs w:val="19"/>
        </w:rPr>
        <w:t>as viral is considered to be the primary infection initiating the disease pathogenesis while bacterial superinfection (as secondary infection) is the driver of disease severity, which we want to capture.</w:t>
      </w:r>
    </w:p>
    <w:p w14:paraId="7E06AC6E" w14:textId="77777777" w:rsidR="000979B2" w:rsidRDefault="000979B2" w:rsidP="000979B2">
      <w:pPr>
        <w:pStyle w:val="CommentText"/>
        <w:ind w:firstLine="0"/>
        <w:rPr>
          <w:rFonts w:cs="Arial"/>
          <w:sz w:val="19"/>
          <w:szCs w:val="19"/>
        </w:rPr>
      </w:pPr>
      <w:r>
        <w:rPr>
          <w:noProof/>
          <w:sz w:val="19"/>
          <w:szCs w:val="19"/>
        </w:rPr>
        <w:t xml:space="preserve">RSV – respiratory syncitial virus; HMPV – human metapneumovirus; </w:t>
      </w:r>
      <w:r w:rsidRPr="00754F5C">
        <w:rPr>
          <w:rFonts w:cs="Arial"/>
          <w:sz w:val="19"/>
          <w:szCs w:val="19"/>
        </w:rPr>
        <w:t>Strep_pneumoniae_PCV13</w:t>
      </w:r>
      <w:r>
        <w:rPr>
          <w:rFonts w:cs="Arial"/>
          <w:sz w:val="19"/>
          <w:szCs w:val="19"/>
        </w:rPr>
        <w:t xml:space="preserve"> – Streptococcus pneumoniae Pneumococcal Conjugate Vaccine 13, Hib – Haemophilus influenzae type b</w:t>
      </w:r>
    </w:p>
    <w:p w14:paraId="6111E967" w14:textId="77777777" w:rsidR="000979B2" w:rsidRDefault="000979B2" w:rsidP="000979B2">
      <w:pPr>
        <w:pStyle w:val="CommentText"/>
        <w:ind w:firstLine="0"/>
        <w:rPr>
          <w:rFonts w:cs="Arial"/>
          <w:sz w:val="19"/>
          <w:szCs w:val="19"/>
        </w:rPr>
      </w:pPr>
      <w:r>
        <w:rPr>
          <w:rFonts w:cs="Arial"/>
          <w:sz w:val="19"/>
          <w:szCs w:val="19"/>
        </w:rPr>
        <w:t>*Enterobacteriaceae</w:t>
      </w:r>
      <w:r w:rsidRPr="00754F5C">
        <w:rPr>
          <w:rFonts w:cs="Arial"/>
          <w:sz w:val="19"/>
          <w:szCs w:val="19"/>
        </w:rPr>
        <w:t xml:space="preserve"> includes E. coli, Enterobacter </w:t>
      </w:r>
      <w:r>
        <w:rPr>
          <w:rFonts w:cs="Arial"/>
          <w:sz w:val="19"/>
          <w:szCs w:val="19"/>
        </w:rPr>
        <w:t>species, and Klebsiella species</w:t>
      </w:r>
    </w:p>
    <w:p w14:paraId="0733EE8F" w14:textId="77777777" w:rsidR="000979B2" w:rsidRDefault="000979B2" w:rsidP="000979B2">
      <w:pPr>
        <w:pStyle w:val="CommentText"/>
        <w:ind w:firstLine="0"/>
        <w:rPr>
          <w:rFonts w:cs="Arial"/>
          <w:sz w:val="19"/>
          <w:szCs w:val="19"/>
        </w:rPr>
      </w:pPr>
      <w:r>
        <w:rPr>
          <w:rFonts w:cs="Arial"/>
          <w:sz w:val="19"/>
          <w:szCs w:val="19"/>
        </w:rPr>
        <w:t>**other_Strepto_Enterococci</w:t>
      </w:r>
      <w:r w:rsidRPr="00754F5C">
        <w:rPr>
          <w:rFonts w:cs="Arial"/>
          <w:sz w:val="19"/>
          <w:szCs w:val="19"/>
        </w:rPr>
        <w:t xml:space="preserve"> includes Streptococcus pyogenes and Enterococcus faecium</w:t>
      </w:r>
    </w:p>
    <w:p w14:paraId="6E53AB21" w14:textId="77777777" w:rsidR="000979B2" w:rsidRPr="00F03A1D" w:rsidRDefault="000979B2" w:rsidP="000979B2">
      <w:pPr>
        <w:pStyle w:val="CommentText"/>
        <w:ind w:firstLine="0"/>
        <w:jc w:val="left"/>
        <w:rPr>
          <w:rFonts w:cs="Arial"/>
          <w:sz w:val="19"/>
          <w:szCs w:val="19"/>
        </w:rPr>
      </w:pPr>
      <w:r>
        <w:rPr>
          <w:rFonts w:cs="Arial"/>
          <w:sz w:val="19"/>
          <w:szCs w:val="19"/>
        </w:rPr>
        <w:t xml:space="preserve">***other_viral_pathogens includes </w:t>
      </w:r>
      <w:r w:rsidRPr="00754F5C">
        <w:rPr>
          <w:rFonts w:cs="Arial"/>
          <w:sz w:val="19"/>
          <w:szCs w:val="19"/>
        </w:rPr>
        <w:t>Coronaviruses NL63, 229E OC43 and HKU1, Cytomegalovirus, Parechovirus/Enterovirus</w:t>
      </w:r>
      <w:r w:rsidRPr="00754F5C">
        <w:rPr>
          <w:rFonts w:cs="Arial"/>
          <w:sz w:val="19"/>
          <w:szCs w:val="19"/>
        </w:rPr>
        <w:br/>
      </w:r>
      <w:r>
        <w:rPr>
          <w:rFonts w:cs="Arial"/>
          <w:sz w:val="19"/>
          <w:szCs w:val="19"/>
        </w:rPr>
        <w:t xml:space="preserve">****other_bacterial_pathogens </w:t>
      </w:r>
      <w:r w:rsidRPr="00754F5C">
        <w:rPr>
          <w:rFonts w:cs="Arial"/>
          <w:sz w:val="19"/>
          <w:szCs w:val="19"/>
        </w:rPr>
        <w:t>includes Bordetella pertussis, Chlamydophila pn</w:t>
      </w:r>
      <w:r>
        <w:rPr>
          <w:rFonts w:cs="Arial"/>
          <w:sz w:val="19"/>
          <w:szCs w:val="19"/>
        </w:rPr>
        <w:t xml:space="preserve">eumoniae, Legionella species, Mycoplasma pneumoniae, </w:t>
      </w:r>
      <w:r w:rsidRPr="00754F5C">
        <w:rPr>
          <w:rFonts w:cs="Arial"/>
          <w:sz w:val="19"/>
          <w:szCs w:val="19"/>
        </w:rPr>
        <w:t xml:space="preserve">Moraxella catarrhalis, Non-fermenting gram-negative rods (Acinetobacter species and Pseudomonas species), Neisseria </w:t>
      </w:r>
      <w:r>
        <w:rPr>
          <w:rFonts w:cs="Arial"/>
          <w:sz w:val="19"/>
          <w:szCs w:val="19"/>
        </w:rPr>
        <w:t>meningitides</w:t>
      </w:r>
    </w:p>
    <w:p w14:paraId="1AD90042" w14:textId="77777777" w:rsidR="000979B2" w:rsidRDefault="000979B2" w:rsidP="000979B2">
      <w:r>
        <w:t>Table 7 lists the parameters of the ALRI model and respective values.</w:t>
      </w:r>
    </w:p>
    <w:p w14:paraId="11EBB3C7" w14:textId="49EA6B98" w:rsidR="000979B2" w:rsidRDefault="000979B2" w:rsidP="000979B2">
      <w:pPr>
        <w:pStyle w:val="Caption"/>
        <w:keepNext/>
      </w:pPr>
      <w:r>
        <w:t xml:space="preserve">Table </w:t>
      </w:r>
      <w:r w:rsidR="00E018E1">
        <w:fldChar w:fldCharType="begin"/>
      </w:r>
      <w:r w:rsidR="00E018E1">
        <w:instrText xml:space="preserve"> SEQ Table \* ARABIC </w:instrText>
      </w:r>
      <w:r w:rsidR="00E018E1">
        <w:fldChar w:fldCharType="separate"/>
      </w:r>
      <w:r>
        <w:rPr>
          <w:noProof/>
        </w:rPr>
        <w:t>8</w:t>
      </w:r>
      <w:r w:rsidR="00E018E1">
        <w:rPr>
          <w:noProof/>
        </w:rPr>
        <w:fldChar w:fldCharType="end"/>
      </w:r>
      <w:r>
        <w:t xml:space="preserve"> - </w:t>
      </w:r>
      <w:r w:rsidRPr="008F0359">
        <w:t>Parameters of the ALRI mod</w:t>
      </w:r>
      <w:r>
        <w:t>ule</w:t>
      </w:r>
    </w:p>
    <w:tbl>
      <w:tblPr>
        <w:tblW w:w="10291" w:type="dxa"/>
        <w:tblLayout w:type="fixed"/>
        <w:tblLook w:val="04A0" w:firstRow="1" w:lastRow="0" w:firstColumn="1" w:lastColumn="0" w:noHBand="0" w:noVBand="1"/>
      </w:tblPr>
      <w:tblGrid>
        <w:gridCol w:w="2542"/>
        <w:gridCol w:w="3402"/>
        <w:gridCol w:w="992"/>
        <w:gridCol w:w="3355"/>
      </w:tblGrid>
      <w:tr w:rsidR="000979B2" w:rsidRPr="002515AD" w14:paraId="438CE5C5" w14:textId="77777777" w:rsidTr="000979B2">
        <w:trPr>
          <w:trHeight w:val="310"/>
        </w:trPr>
        <w:tc>
          <w:tcPr>
            <w:tcW w:w="2542" w:type="dxa"/>
            <w:tcBorders>
              <w:top w:val="single" w:sz="8" w:space="0" w:color="auto"/>
              <w:left w:val="single" w:sz="8" w:space="0" w:color="auto"/>
              <w:bottom w:val="nil"/>
              <w:right w:val="single" w:sz="8" w:space="0" w:color="auto"/>
            </w:tcBorders>
            <w:shd w:val="clear" w:color="000000" w:fill="9BC2E6"/>
            <w:hideMark/>
          </w:tcPr>
          <w:p w14:paraId="1A5C9DEE" w14:textId="77777777" w:rsidR="000979B2" w:rsidRPr="002515AD" w:rsidRDefault="000979B2" w:rsidP="000979B2">
            <w:pPr>
              <w:spacing w:after="0" w:line="240" w:lineRule="auto"/>
              <w:ind w:firstLine="0"/>
              <w:contextualSpacing w:val="0"/>
              <w:jc w:val="left"/>
              <w:rPr>
                <w:rFonts w:eastAsia="Times New Roman" w:cs="Arial"/>
                <w:b/>
                <w:bCs/>
                <w:lang w:eastAsia="en-GB"/>
              </w:rPr>
            </w:pPr>
            <w:r w:rsidRPr="002515AD">
              <w:rPr>
                <w:rFonts w:eastAsia="Times New Roman" w:cs="Arial"/>
                <w:b/>
                <w:bCs/>
                <w:lang w:eastAsia="en-GB"/>
              </w:rPr>
              <w:t>Parameter</w:t>
            </w:r>
          </w:p>
        </w:tc>
        <w:tc>
          <w:tcPr>
            <w:tcW w:w="3402" w:type="dxa"/>
            <w:tcBorders>
              <w:top w:val="single" w:sz="8" w:space="0" w:color="auto"/>
              <w:left w:val="nil"/>
              <w:bottom w:val="nil"/>
              <w:right w:val="single" w:sz="8" w:space="0" w:color="auto"/>
            </w:tcBorders>
            <w:shd w:val="clear" w:color="000000" w:fill="9BC2E6"/>
            <w:hideMark/>
          </w:tcPr>
          <w:p w14:paraId="6E23759F" w14:textId="77777777" w:rsidR="000979B2" w:rsidRPr="002515AD" w:rsidRDefault="000979B2" w:rsidP="000979B2">
            <w:pPr>
              <w:spacing w:after="0" w:line="240" w:lineRule="auto"/>
              <w:ind w:firstLine="0"/>
              <w:contextualSpacing w:val="0"/>
              <w:jc w:val="left"/>
              <w:rPr>
                <w:rFonts w:eastAsia="Times New Roman" w:cs="Arial"/>
                <w:b/>
                <w:bCs/>
                <w:lang w:eastAsia="en-GB"/>
              </w:rPr>
            </w:pPr>
            <w:r w:rsidRPr="002515AD">
              <w:rPr>
                <w:rFonts w:eastAsia="Times New Roman" w:cs="Arial"/>
                <w:b/>
                <w:bCs/>
                <w:lang w:eastAsia="en-GB"/>
              </w:rPr>
              <w:t>Description</w:t>
            </w:r>
          </w:p>
        </w:tc>
        <w:tc>
          <w:tcPr>
            <w:tcW w:w="992" w:type="dxa"/>
            <w:tcBorders>
              <w:top w:val="single" w:sz="8" w:space="0" w:color="auto"/>
              <w:left w:val="nil"/>
              <w:bottom w:val="nil"/>
              <w:right w:val="single" w:sz="8" w:space="0" w:color="auto"/>
            </w:tcBorders>
            <w:shd w:val="clear" w:color="000000" w:fill="9BC2E6"/>
            <w:hideMark/>
          </w:tcPr>
          <w:p w14:paraId="61643D83" w14:textId="77777777" w:rsidR="000979B2" w:rsidRPr="002515AD" w:rsidRDefault="000979B2" w:rsidP="000979B2">
            <w:pPr>
              <w:spacing w:after="0" w:line="240" w:lineRule="auto"/>
              <w:ind w:firstLine="0"/>
              <w:contextualSpacing w:val="0"/>
              <w:jc w:val="left"/>
              <w:rPr>
                <w:rFonts w:eastAsia="Times New Roman" w:cs="Arial"/>
                <w:b/>
                <w:bCs/>
                <w:lang w:eastAsia="en-GB"/>
              </w:rPr>
            </w:pPr>
            <w:r w:rsidRPr="002515AD">
              <w:rPr>
                <w:rFonts w:eastAsia="Times New Roman" w:cs="Arial"/>
                <w:b/>
                <w:bCs/>
                <w:lang w:eastAsia="en-GB"/>
              </w:rPr>
              <w:t>Value</w:t>
            </w:r>
          </w:p>
        </w:tc>
        <w:tc>
          <w:tcPr>
            <w:tcW w:w="3355" w:type="dxa"/>
            <w:tcBorders>
              <w:top w:val="single" w:sz="8" w:space="0" w:color="auto"/>
              <w:left w:val="nil"/>
              <w:bottom w:val="nil"/>
              <w:right w:val="single" w:sz="8" w:space="0" w:color="auto"/>
            </w:tcBorders>
            <w:shd w:val="clear" w:color="000000" w:fill="9BC2E6"/>
            <w:hideMark/>
          </w:tcPr>
          <w:p w14:paraId="5D98A208" w14:textId="77777777" w:rsidR="000979B2" w:rsidRPr="002515AD" w:rsidRDefault="000979B2" w:rsidP="000979B2">
            <w:pPr>
              <w:spacing w:after="0" w:line="240" w:lineRule="auto"/>
              <w:ind w:firstLine="0"/>
              <w:contextualSpacing w:val="0"/>
              <w:jc w:val="left"/>
              <w:rPr>
                <w:rFonts w:eastAsia="Times New Roman" w:cs="Arial"/>
                <w:b/>
                <w:bCs/>
                <w:lang w:eastAsia="en-GB"/>
              </w:rPr>
            </w:pPr>
            <w:r w:rsidRPr="002515AD">
              <w:rPr>
                <w:rFonts w:eastAsia="Times New Roman" w:cs="Arial"/>
                <w:b/>
                <w:bCs/>
                <w:lang w:eastAsia="en-GB"/>
              </w:rPr>
              <w:t>Notes</w:t>
            </w:r>
          </w:p>
        </w:tc>
      </w:tr>
      <w:tr w:rsidR="000979B2" w:rsidRPr="002515AD" w14:paraId="07E2720D" w14:textId="77777777" w:rsidTr="000979B2">
        <w:trPr>
          <w:trHeight w:val="720"/>
        </w:trPr>
        <w:tc>
          <w:tcPr>
            <w:tcW w:w="2542" w:type="dxa"/>
            <w:tcBorders>
              <w:top w:val="single" w:sz="4" w:space="0" w:color="auto"/>
              <w:left w:val="single" w:sz="4" w:space="0" w:color="auto"/>
              <w:bottom w:val="single" w:sz="4" w:space="0" w:color="auto"/>
              <w:right w:val="single" w:sz="4" w:space="0" w:color="auto"/>
            </w:tcBorders>
            <w:shd w:val="clear" w:color="auto" w:fill="auto"/>
            <w:hideMark/>
          </w:tcPr>
          <w:p w14:paraId="0F57A0BE"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base_inc_rate_ALRI_by_RSV</w:t>
            </w:r>
          </w:p>
        </w:tc>
        <w:tc>
          <w:tcPr>
            <w:tcW w:w="3402" w:type="dxa"/>
            <w:tcBorders>
              <w:top w:val="single" w:sz="4" w:space="0" w:color="auto"/>
              <w:left w:val="nil"/>
              <w:bottom w:val="single" w:sz="4" w:space="0" w:color="auto"/>
              <w:right w:val="single" w:sz="4" w:space="0" w:color="auto"/>
            </w:tcBorders>
            <w:shd w:val="clear" w:color="auto" w:fill="auto"/>
            <w:hideMark/>
          </w:tcPr>
          <w:p w14:paraId="2FBE5B4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RSV in each age group [1-11, 12-23, 24-59]</w:t>
            </w:r>
          </w:p>
        </w:tc>
        <w:tc>
          <w:tcPr>
            <w:tcW w:w="992" w:type="dxa"/>
            <w:tcBorders>
              <w:top w:val="single" w:sz="4" w:space="0" w:color="auto"/>
              <w:left w:val="nil"/>
              <w:bottom w:val="single" w:sz="4" w:space="0" w:color="auto"/>
              <w:right w:val="single" w:sz="4" w:space="0" w:color="auto"/>
            </w:tcBorders>
            <w:shd w:val="clear" w:color="auto" w:fill="auto"/>
            <w:hideMark/>
          </w:tcPr>
          <w:p w14:paraId="34BFE2B2"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0.2749, 0.1102, 0.0088</w:t>
            </w:r>
          </w:p>
        </w:tc>
        <w:tc>
          <w:tcPr>
            <w:tcW w:w="335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6899D6"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The incidence of ALRI by pathogen is calculated using McCollum ED et al. 2017 study data to estimate the incidence of WHO-defined pneumonia - then applied a fraction of CXR+ cases (published data) from the PERCH study to calculate the proportions that are 'true' underlying pneumonia, plus adjusted for sensitivity and specificity with a paediatrician's 'gold standard'. Then, using the pathogen attributable fraction estimates from t</w:t>
            </w:r>
            <w:r>
              <w:rPr>
                <w:rFonts w:eastAsia="Times New Roman" w:cs="Arial"/>
                <w:color w:val="000000"/>
                <w:sz w:val="20"/>
                <w:szCs w:val="20"/>
                <w:lang w:eastAsia="en-GB"/>
              </w:rPr>
              <w:t>he PERCH study, apply to that p</w:t>
            </w:r>
            <w:r w:rsidRPr="002515AD">
              <w:rPr>
                <w:rFonts w:eastAsia="Times New Roman" w:cs="Arial"/>
                <w:color w:val="000000"/>
                <w:sz w:val="20"/>
                <w:szCs w:val="20"/>
                <w:lang w:eastAsia="en-GB"/>
              </w:rPr>
              <w:t>r</w:t>
            </w:r>
            <w:r>
              <w:rPr>
                <w:rFonts w:eastAsia="Times New Roman" w:cs="Arial"/>
                <w:color w:val="000000"/>
                <w:sz w:val="20"/>
                <w:szCs w:val="20"/>
                <w:lang w:eastAsia="en-GB"/>
              </w:rPr>
              <w:t>o</w:t>
            </w:r>
            <w:r w:rsidRPr="002515AD">
              <w:rPr>
                <w:rFonts w:eastAsia="Times New Roman" w:cs="Arial"/>
                <w:color w:val="000000"/>
                <w:sz w:val="20"/>
                <w:szCs w:val="20"/>
                <w:lang w:eastAsia="en-GB"/>
              </w:rPr>
              <w:t>po</w:t>
            </w:r>
            <w:r>
              <w:rPr>
                <w:rFonts w:eastAsia="Times New Roman" w:cs="Arial"/>
                <w:color w:val="000000"/>
                <w:sz w:val="20"/>
                <w:szCs w:val="20"/>
                <w:lang w:eastAsia="en-GB"/>
              </w:rPr>
              <w:t>r</w:t>
            </w:r>
            <w:r w:rsidRPr="002515AD">
              <w:rPr>
                <w:rFonts w:eastAsia="Times New Roman" w:cs="Arial"/>
                <w:color w:val="000000"/>
                <w:sz w:val="20"/>
                <w:szCs w:val="20"/>
                <w:lang w:eastAsia="en-GB"/>
              </w:rPr>
              <w:t>tion of estimated 'true' pneumonia to get the incidence of pneumonia by pathogen per age group. Then the other proportion of the WHO-defined pneumonia incidence derived in the first step is assumed to be 'true' underlying bronbchiolitis (CXR-) for which the pathogen AFs were not published in the PERCH article, thus currently dummy values. I have requested them, and it was confirmed to be provided, by a member of PERCH. The incidence of ALRI by pathogen in each age group equals to the addition of the incidences of pneumonia and bronchiolitis.</w:t>
            </w:r>
          </w:p>
        </w:tc>
      </w:tr>
      <w:tr w:rsidR="000979B2" w:rsidRPr="002515AD" w14:paraId="5D41B718"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153DFEE5"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base_inc_rate_ALRI_by_Rhinovirus</w:t>
            </w:r>
          </w:p>
        </w:tc>
        <w:tc>
          <w:tcPr>
            <w:tcW w:w="3402" w:type="dxa"/>
            <w:tcBorders>
              <w:top w:val="nil"/>
              <w:left w:val="nil"/>
              <w:bottom w:val="single" w:sz="4" w:space="0" w:color="auto"/>
              <w:right w:val="single" w:sz="4" w:space="0" w:color="auto"/>
            </w:tcBorders>
            <w:shd w:val="clear" w:color="auto" w:fill="auto"/>
            <w:hideMark/>
          </w:tcPr>
          <w:p w14:paraId="06684414"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rhinovirus in each age group [1-11, 12-23, 24-59]</w:t>
            </w:r>
          </w:p>
        </w:tc>
        <w:tc>
          <w:tcPr>
            <w:tcW w:w="992" w:type="dxa"/>
            <w:tcBorders>
              <w:top w:val="nil"/>
              <w:left w:val="nil"/>
              <w:bottom w:val="single" w:sz="4" w:space="0" w:color="auto"/>
              <w:right w:val="single" w:sz="4" w:space="0" w:color="auto"/>
            </w:tcBorders>
            <w:shd w:val="clear" w:color="auto" w:fill="auto"/>
            <w:hideMark/>
          </w:tcPr>
          <w:p w14:paraId="69085F2C"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0.0217, 0.035, 0.0085</w:t>
            </w:r>
          </w:p>
        </w:tc>
        <w:tc>
          <w:tcPr>
            <w:tcW w:w="3355" w:type="dxa"/>
            <w:vMerge/>
            <w:tcBorders>
              <w:top w:val="single" w:sz="4" w:space="0" w:color="auto"/>
              <w:left w:val="single" w:sz="4" w:space="0" w:color="auto"/>
              <w:bottom w:val="single" w:sz="4" w:space="0" w:color="auto"/>
              <w:right w:val="single" w:sz="4" w:space="0" w:color="auto"/>
            </w:tcBorders>
            <w:vAlign w:val="center"/>
            <w:hideMark/>
          </w:tcPr>
          <w:p w14:paraId="013805C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37C1F2C8"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3D1A08D5"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base_inc_rate_ALRI_by_HMPV</w:t>
            </w:r>
          </w:p>
        </w:tc>
        <w:tc>
          <w:tcPr>
            <w:tcW w:w="3402" w:type="dxa"/>
            <w:tcBorders>
              <w:top w:val="nil"/>
              <w:left w:val="nil"/>
              <w:bottom w:val="single" w:sz="4" w:space="0" w:color="auto"/>
              <w:right w:val="single" w:sz="4" w:space="0" w:color="auto"/>
            </w:tcBorders>
            <w:shd w:val="clear" w:color="auto" w:fill="auto"/>
            <w:hideMark/>
          </w:tcPr>
          <w:p w14:paraId="2AD1B50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hMPV in each age group [1-11, 12-23, 24-59]</w:t>
            </w:r>
          </w:p>
        </w:tc>
        <w:tc>
          <w:tcPr>
            <w:tcW w:w="992" w:type="dxa"/>
            <w:tcBorders>
              <w:top w:val="nil"/>
              <w:left w:val="nil"/>
              <w:bottom w:val="single" w:sz="4" w:space="0" w:color="auto"/>
              <w:right w:val="single" w:sz="4" w:space="0" w:color="auto"/>
            </w:tcBorders>
            <w:shd w:val="clear" w:color="auto" w:fill="auto"/>
            <w:hideMark/>
          </w:tcPr>
          <w:p w14:paraId="4A1A0191"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0.0382, 0.0184, 0.0031</w:t>
            </w:r>
          </w:p>
        </w:tc>
        <w:tc>
          <w:tcPr>
            <w:tcW w:w="3355" w:type="dxa"/>
            <w:vMerge/>
            <w:tcBorders>
              <w:top w:val="single" w:sz="4" w:space="0" w:color="auto"/>
              <w:left w:val="single" w:sz="4" w:space="0" w:color="auto"/>
              <w:bottom w:val="single" w:sz="4" w:space="0" w:color="auto"/>
              <w:right w:val="single" w:sz="4" w:space="0" w:color="auto"/>
            </w:tcBorders>
            <w:vAlign w:val="center"/>
            <w:hideMark/>
          </w:tcPr>
          <w:p w14:paraId="62BAEA78"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2C454F9E"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268BBFCB"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base_inc_rate_ALRI_by_Parainfluenza</w:t>
            </w:r>
          </w:p>
        </w:tc>
        <w:tc>
          <w:tcPr>
            <w:tcW w:w="3402" w:type="dxa"/>
            <w:tcBorders>
              <w:top w:val="nil"/>
              <w:left w:val="nil"/>
              <w:bottom w:val="single" w:sz="4" w:space="0" w:color="auto"/>
              <w:right w:val="single" w:sz="4" w:space="0" w:color="auto"/>
            </w:tcBorders>
            <w:shd w:val="clear" w:color="auto" w:fill="auto"/>
            <w:hideMark/>
          </w:tcPr>
          <w:p w14:paraId="5A49A01E"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parainfluenza in each age group [1-11, 12-23, 24-59]</w:t>
            </w:r>
          </w:p>
        </w:tc>
        <w:tc>
          <w:tcPr>
            <w:tcW w:w="992" w:type="dxa"/>
            <w:tcBorders>
              <w:top w:val="nil"/>
              <w:left w:val="nil"/>
              <w:bottom w:val="single" w:sz="4" w:space="0" w:color="auto"/>
              <w:right w:val="single" w:sz="4" w:space="0" w:color="auto"/>
            </w:tcBorders>
            <w:shd w:val="clear" w:color="auto" w:fill="auto"/>
            <w:hideMark/>
          </w:tcPr>
          <w:p w14:paraId="559082C7"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0.0367, 0.0192, 0.0036</w:t>
            </w:r>
          </w:p>
        </w:tc>
        <w:tc>
          <w:tcPr>
            <w:tcW w:w="3355" w:type="dxa"/>
            <w:vMerge/>
            <w:tcBorders>
              <w:top w:val="single" w:sz="4" w:space="0" w:color="auto"/>
              <w:left w:val="single" w:sz="4" w:space="0" w:color="auto"/>
              <w:bottom w:val="single" w:sz="4" w:space="0" w:color="auto"/>
              <w:right w:val="single" w:sz="4" w:space="0" w:color="auto"/>
            </w:tcBorders>
            <w:vAlign w:val="center"/>
            <w:hideMark/>
          </w:tcPr>
          <w:p w14:paraId="23F5EB01"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5007557F" w14:textId="77777777" w:rsidTr="000979B2">
        <w:trPr>
          <w:trHeight w:val="810"/>
        </w:trPr>
        <w:tc>
          <w:tcPr>
            <w:tcW w:w="2542" w:type="dxa"/>
            <w:tcBorders>
              <w:top w:val="nil"/>
              <w:left w:val="single" w:sz="4" w:space="0" w:color="auto"/>
              <w:bottom w:val="single" w:sz="4" w:space="0" w:color="auto"/>
              <w:right w:val="single" w:sz="4" w:space="0" w:color="auto"/>
            </w:tcBorders>
            <w:shd w:val="clear" w:color="auto" w:fill="auto"/>
            <w:hideMark/>
          </w:tcPr>
          <w:p w14:paraId="7A0C3A76"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base_inc_rate_ALRI_by_Strep_pneumoniae_PCV13</w:t>
            </w:r>
          </w:p>
        </w:tc>
        <w:tc>
          <w:tcPr>
            <w:tcW w:w="3402" w:type="dxa"/>
            <w:tcBorders>
              <w:top w:val="nil"/>
              <w:left w:val="nil"/>
              <w:bottom w:val="single" w:sz="4" w:space="0" w:color="auto"/>
              <w:right w:val="single" w:sz="4" w:space="0" w:color="auto"/>
            </w:tcBorders>
            <w:shd w:val="clear" w:color="auto" w:fill="auto"/>
            <w:hideMark/>
          </w:tcPr>
          <w:p w14:paraId="422BA772"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Streptococcus pneumoniae PCV13-type in each age group [1-11, 12-23, 24-59]</w:t>
            </w:r>
          </w:p>
        </w:tc>
        <w:tc>
          <w:tcPr>
            <w:tcW w:w="992" w:type="dxa"/>
            <w:tcBorders>
              <w:top w:val="nil"/>
              <w:left w:val="nil"/>
              <w:bottom w:val="single" w:sz="4" w:space="0" w:color="auto"/>
              <w:right w:val="single" w:sz="4" w:space="0" w:color="auto"/>
            </w:tcBorders>
            <w:shd w:val="clear" w:color="auto" w:fill="auto"/>
            <w:hideMark/>
          </w:tcPr>
          <w:p w14:paraId="1FC38D84"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0.0072, 0.0099, 0.0024</w:t>
            </w:r>
          </w:p>
        </w:tc>
        <w:tc>
          <w:tcPr>
            <w:tcW w:w="3355" w:type="dxa"/>
            <w:vMerge/>
            <w:tcBorders>
              <w:top w:val="single" w:sz="4" w:space="0" w:color="auto"/>
              <w:left w:val="single" w:sz="4" w:space="0" w:color="auto"/>
              <w:bottom w:val="single" w:sz="4" w:space="0" w:color="auto"/>
              <w:right w:val="single" w:sz="4" w:space="0" w:color="auto"/>
            </w:tcBorders>
            <w:vAlign w:val="center"/>
            <w:hideMark/>
          </w:tcPr>
          <w:p w14:paraId="2C18D746"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02AD0ED0" w14:textId="77777777" w:rsidTr="000979B2">
        <w:trPr>
          <w:trHeight w:val="1000"/>
        </w:trPr>
        <w:tc>
          <w:tcPr>
            <w:tcW w:w="2542" w:type="dxa"/>
            <w:tcBorders>
              <w:top w:val="nil"/>
              <w:left w:val="single" w:sz="4" w:space="0" w:color="auto"/>
              <w:bottom w:val="single" w:sz="4" w:space="0" w:color="auto"/>
              <w:right w:val="single" w:sz="4" w:space="0" w:color="auto"/>
            </w:tcBorders>
            <w:shd w:val="clear" w:color="auto" w:fill="auto"/>
            <w:hideMark/>
          </w:tcPr>
          <w:p w14:paraId="4467C466"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base_inc_rate_ALRI_by_Strep_pneumoniae_non_PCV13</w:t>
            </w:r>
          </w:p>
        </w:tc>
        <w:tc>
          <w:tcPr>
            <w:tcW w:w="3402" w:type="dxa"/>
            <w:tcBorders>
              <w:top w:val="nil"/>
              <w:left w:val="nil"/>
              <w:bottom w:val="single" w:sz="4" w:space="0" w:color="auto"/>
              <w:right w:val="single" w:sz="4" w:space="0" w:color="auto"/>
            </w:tcBorders>
            <w:shd w:val="clear" w:color="auto" w:fill="auto"/>
            <w:hideMark/>
          </w:tcPr>
          <w:p w14:paraId="5BE6600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Streptococcus pneumoniae non-PCV13-type in each age group [1-11, 12-23, 24-59]</w:t>
            </w:r>
          </w:p>
        </w:tc>
        <w:tc>
          <w:tcPr>
            <w:tcW w:w="992" w:type="dxa"/>
            <w:tcBorders>
              <w:top w:val="nil"/>
              <w:left w:val="nil"/>
              <w:bottom w:val="single" w:sz="4" w:space="0" w:color="auto"/>
              <w:right w:val="single" w:sz="4" w:space="0" w:color="auto"/>
            </w:tcBorders>
            <w:shd w:val="clear" w:color="auto" w:fill="auto"/>
            <w:hideMark/>
          </w:tcPr>
          <w:p w14:paraId="2FFF1116"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0.0072, 0.0099, 0.0024</w:t>
            </w:r>
          </w:p>
        </w:tc>
        <w:tc>
          <w:tcPr>
            <w:tcW w:w="3355" w:type="dxa"/>
            <w:vMerge/>
            <w:tcBorders>
              <w:top w:val="single" w:sz="4" w:space="0" w:color="auto"/>
              <w:left w:val="single" w:sz="4" w:space="0" w:color="auto"/>
              <w:bottom w:val="single" w:sz="4" w:space="0" w:color="auto"/>
              <w:right w:val="single" w:sz="4" w:space="0" w:color="auto"/>
            </w:tcBorders>
            <w:vAlign w:val="center"/>
            <w:hideMark/>
          </w:tcPr>
          <w:p w14:paraId="673F4E55"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5E8C2236"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441E05AC"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base_inc_rate_ALRI_by_Hib</w:t>
            </w:r>
          </w:p>
        </w:tc>
        <w:tc>
          <w:tcPr>
            <w:tcW w:w="3402" w:type="dxa"/>
            <w:tcBorders>
              <w:top w:val="nil"/>
              <w:left w:val="nil"/>
              <w:bottom w:val="single" w:sz="4" w:space="0" w:color="auto"/>
              <w:right w:val="single" w:sz="4" w:space="0" w:color="auto"/>
            </w:tcBorders>
            <w:shd w:val="clear" w:color="auto" w:fill="auto"/>
            <w:hideMark/>
          </w:tcPr>
          <w:p w14:paraId="4ECC759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Heamophilus influenzae type b in each age group [1-11, 12-23, 24-59]</w:t>
            </w:r>
          </w:p>
        </w:tc>
        <w:tc>
          <w:tcPr>
            <w:tcW w:w="992" w:type="dxa"/>
            <w:tcBorders>
              <w:top w:val="nil"/>
              <w:left w:val="nil"/>
              <w:bottom w:val="single" w:sz="4" w:space="0" w:color="auto"/>
              <w:right w:val="single" w:sz="4" w:space="0" w:color="auto"/>
            </w:tcBorders>
            <w:shd w:val="clear" w:color="auto" w:fill="auto"/>
            <w:hideMark/>
          </w:tcPr>
          <w:p w14:paraId="14C83E75"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0.009, 0.0063, 0.0012</w:t>
            </w:r>
          </w:p>
        </w:tc>
        <w:tc>
          <w:tcPr>
            <w:tcW w:w="3355" w:type="dxa"/>
            <w:vMerge/>
            <w:tcBorders>
              <w:top w:val="single" w:sz="4" w:space="0" w:color="auto"/>
              <w:left w:val="single" w:sz="4" w:space="0" w:color="auto"/>
              <w:bottom w:val="single" w:sz="4" w:space="0" w:color="auto"/>
              <w:right w:val="single" w:sz="4" w:space="0" w:color="auto"/>
            </w:tcBorders>
            <w:vAlign w:val="center"/>
            <w:hideMark/>
          </w:tcPr>
          <w:p w14:paraId="6110DA1B"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5F929B7E"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41095ABE"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base_inc_rate_ALRI_by_H.influenzae_non_type_b</w:t>
            </w:r>
          </w:p>
        </w:tc>
        <w:tc>
          <w:tcPr>
            <w:tcW w:w="3402" w:type="dxa"/>
            <w:tcBorders>
              <w:top w:val="nil"/>
              <w:left w:val="nil"/>
              <w:bottom w:val="single" w:sz="4" w:space="0" w:color="auto"/>
              <w:right w:val="single" w:sz="4" w:space="0" w:color="auto"/>
            </w:tcBorders>
            <w:shd w:val="clear" w:color="auto" w:fill="auto"/>
            <w:hideMark/>
          </w:tcPr>
          <w:p w14:paraId="1EEAFEC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Heamophilus influenzae non-type b in each age group [1-11, 12-23, 24-59]</w:t>
            </w:r>
          </w:p>
        </w:tc>
        <w:tc>
          <w:tcPr>
            <w:tcW w:w="992" w:type="dxa"/>
            <w:tcBorders>
              <w:top w:val="nil"/>
              <w:left w:val="nil"/>
              <w:bottom w:val="single" w:sz="4" w:space="0" w:color="auto"/>
              <w:right w:val="single" w:sz="4" w:space="0" w:color="auto"/>
            </w:tcBorders>
            <w:shd w:val="clear" w:color="auto" w:fill="auto"/>
            <w:hideMark/>
          </w:tcPr>
          <w:p w14:paraId="383D8E6F"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0.009, 0.0063, 0.0012</w:t>
            </w:r>
          </w:p>
        </w:tc>
        <w:tc>
          <w:tcPr>
            <w:tcW w:w="3355" w:type="dxa"/>
            <w:vMerge/>
            <w:tcBorders>
              <w:top w:val="single" w:sz="4" w:space="0" w:color="auto"/>
              <w:left w:val="single" w:sz="4" w:space="0" w:color="auto"/>
              <w:bottom w:val="single" w:sz="4" w:space="0" w:color="auto"/>
              <w:right w:val="single" w:sz="4" w:space="0" w:color="auto"/>
            </w:tcBorders>
            <w:vAlign w:val="center"/>
            <w:hideMark/>
          </w:tcPr>
          <w:p w14:paraId="2C8E064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6A6395C9"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16640D3D"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base_inc_rate_ALRI_by_Staph_aureus</w:t>
            </w:r>
          </w:p>
        </w:tc>
        <w:tc>
          <w:tcPr>
            <w:tcW w:w="3402" w:type="dxa"/>
            <w:tcBorders>
              <w:top w:val="nil"/>
              <w:left w:val="nil"/>
              <w:bottom w:val="single" w:sz="4" w:space="0" w:color="auto"/>
              <w:right w:val="single" w:sz="4" w:space="0" w:color="auto"/>
            </w:tcBorders>
            <w:shd w:val="clear" w:color="auto" w:fill="auto"/>
            <w:hideMark/>
          </w:tcPr>
          <w:p w14:paraId="175C962F"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Staphylococcus aureus in each age group [1-11, 12-23, 24-59]</w:t>
            </w:r>
          </w:p>
        </w:tc>
        <w:tc>
          <w:tcPr>
            <w:tcW w:w="992" w:type="dxa"/>
            <w:tcBorders>
              <w:top w:val="nil"/>
              <w:left w:val="nil"/>
              <w:bottom w:val="single" w:sz="4" w:space="0" w:color="auto"/>
              <w:right w:val="single" w:sz="4" w:space="0" w:color="auto"/>
            </w:tcBorders>
            <w:shd w:val="clear" w:color="auto" w:fill="auto"/>
            <w:hideMark/>
          </w:tcPr>
          <w:p w14:paraId="55FA4551"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0.0113, 0.0017, 0.0006</w:t>
            </w:r>
          </w:p>
        </w:tc>
        <w:tc>
          <w:tcPr>
            <w:tcW w:w="3355" w:type="dxa"/>
            <w:vMerge/>
            <w:tcBorders>
              <w:top w:val="single" w:sz="4" w:space="0" w:color="auto"/>
              <w:left w:val="single" w:sz="4" w:space="0" w:color="auto"/>
              <w:bottom w:val="single" w:sz="4" w:space="0" w:color="auto"/>
              <w:right w:val="single" w:sz="4" w:space="0" w:color="auto"/>
            </w:tcBorders>
            <w:vAlign w:val="center"/>
            <w:hideMark/>
          </w:tcPr>
          <w:p w14:paraId="7D420FC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57125EB6" w14:textId="77777777" w:rsidTr="000979B2">
        <w:trPr>
          <w:trHeight w:val="780"/>
        </w:trPr>
        <w:tc>
          <w:tcPr>
            <w:tcW w:w="2542" w:type="dxa"/>
            <w:tcBorders>
              <w:top w:val="nil"/>
              <w:left w:val="single" w:sz="4" w:space="0" w:color="auto"/>
              <w:bottom w:val="single" w:sz="4" w:space="0" w:color="auto"/>
              <w:right w:val="single" w:sz="4" w:space="0" w:color="auto"/>
            </w:tcBorders>
            <w:shd w:val="clear" w:color="auto" w:fill="auto"/>
            <w:hideMark/>
          </w:tcPr>
          <w:p w14:paraId="09763A3B"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base_inc_rate_ALRI_by_Enterobacteriaceae</w:t>
            </w:r>
          </w:p>
        </w:tc>
        <w:tc>
          <w:tcPr>
            <w:tcW w:w="3402" w:type="dxa"/>
            <w:tcBorders>
              <w:top w:val="nil"/>
              <w:left w:val="nil"/>
              <w:bottom w:val="single" w:sz="4" w:space="0" w:color="auto"/>
              <w:right w:val="single" w:sz="4" w:space="0" w:color="auto"/>
            </w:tcBorders>
            <w:shd w:val="clear" w:color="auto" w:fill="auto"/>
            <w:hideMark/>
          </w:tcPr>
          <w:p w14:paraId="17A4A6BA"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Enterobacteriaceae in each age group [1-11, 12-23, 24-59]</w:t>
            </w:r>
          </w:p>
        </w:tc>
        <w:tc>
          <w:tcPr>
            <w:tcW w:w="992" w:type="dxa"/>
            <w:tcBorders>
              <w:top w:val="nil"/>
              <w:left w:val="nil"/>
              <w:bottom w:val="single" w:sz="4" w:space="0" w:color="auto"/>
              <w:right w:val="single" w:sz="4" w:space="0" w:color="auto"/>
            </w:tcBorders>
            <w:shd w:val="clear" w:color="auto" w:fill="auto"/>
            <w:hideMark/>
          </w:tcPr>
          <w:p w14:paraId="229CF76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0.0103, 0.0036, 0.0016</w:t>
            </w:r>
          </w:p>
        </w:tc>
        <w:tc>
          <w:tcPr>
            <w:tcW w:w="3355" w:type="dxa"/>
            <w:vMerge w:val="restart"/>
            <w:tcBorders>
              <w:top w:val="nil"/>
              <w:left w:val="single" w:sz="4" w:space="0" w:color="auto"/>
              <w:bottom w:val="single" w:sz="4" w:space="0" w:color="auto"/>
              <w:right w:val="single" w:sz="4" w:space="0" w:color="auto"/>
            </w:tcBorders>
            <w:shd w:val="clear" w:color="auto" w:fill="auto"/>
            <w:hideMark/>
          </w:tcPr>
          <w:p w14:paraId="7ACAF47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PERCH's AFs of CXR+ for S. pneumoniae non-PCV13, H. influenzae non-type b, Enterobacteriaceae, Streptococcus and Enterococci spp, adenovirus, coronavirus and bocavirus are not provided in the article. These are currently not included in deriving the incidence of pneumonia</w:t>
            </w:r>
          </w:p>
        </w:tc>
      </w:tr>
      <w:tr w:rsidR="000979B2" w:rsidRPr="002515AD" w14:paraId="4FB12D7F" w14:textId="77777777" w:rsidTr="000979B2">
        <w:trPr>
          <w:trHeight w:val="800"/>
        </w:trPr>
        <w:tc>
          <w:tcPr>
            <w:tcW w:w="2542" w:type="dxa"/>
            <w:tcBorders>
              <w:top w:val="nil"/>
              <w:left w:val="single" w:sz="4" w:space="0" w:color="auto"/>
              <w:bottom w:val="single" w:sz="4" w:space="0" w:color="auto"/>
              <w:right w:val="single" w:sz="4" w:space="0" w:color="auto"/>
            </w:tcBorders>
            <w:shd w:val="clear" w:color="auto" w:fill="auto"/>
            <w:hideMark/>
          </w:tcPr>
          <w:p w14:paraId="76C85D55"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base_inc_rate_ALRI_by_other_Strepto_Enterococci</w:t>
            </w:r>
          </w:p>
        </w:tc>
        <w:tc>
          <w:tcPr>
            <w:tcW w:w="3402" w:type="dxa"/>
            <w:tcBorders>
              <w:top w:val="nil"/>
              <w:left w:val="nil"/>
              <w:bottom w:val="single" w:sz="4" w:space="0" w:color="auto"/>
              <w:right w:val="single" w:sz="4" w:space="0" w:color="auto"/>
            </w:tcBorders>
            <w:shd w:val="clear" w:color="auto" w:fill="auto"/>
            <w:hideMark/>
          </w:tcPr>
          <w:p w14:paraId="7FB1715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other Streptococcus and Enterococci spp. in each age group [1-11, 12-23, 24-59]</w:t>
            </w:r>
          </w:p>
        </w:tc>
        <w:tc>
          <w:tcPr>
            <w:tcW w:w="992" w:type="dxa"/>
            <w:tcBorders>
              <w:top w:val="nil"/>
              <w:left w:val="nil"/>
              <w:bottom w:val="single" w:sz="4" w:space="0" w:color="auto"/>
              <w:right w:val="single" w:sz="4" w:space="0" w:color="auto"/>
            </w:tcBorders>
            <w:shd w:val="clear" w:color="auto" w:fill="auto"/>
            <w:hideMark/>
          </w:tcPr>
          <w:p w14:paraId="55556946"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0.0103, 0.0036, 0.0016</w:t>
            </w:r>
          </w:p>
        </w:tc>
        <w:tc>
          <w:tcPr>
            <w:tcW w:w="3355" w:type="dxa"/>
            <w:vMerge/>
            <w:tcBorders>
              <w:top w:val="nil"/>
              <w:left w:val="single" w:sz="4" w:space="0" w:color="auto"/>
              <w:bottom w:val="single" w:sz="4" w:space="0" w:color="auto"/>
              <w:right w:val="single" w:sz="4" w:space="0" w:color="auto"/>
            </w:tcBorders>
            <w:vAlign w:val="center"/>
            <w:hideMark/>
          </w:tcPr>
          <w:p w14:paraId="48B48077"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62CE43A2"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5B2B39ED"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base_inc_rate_ALRI_by_Influenza</w:t>
            </w:r>
          </w:p>
        </w:tc>
        <w:tc>
          <w:tcPr>
            <w:tcW w:w="3402" w:type="dxa"/>
            <w:tcBorders>
              <w:top w:val="nil"/>
              <w:left w:val="nil"/>
              <w:bottom w:val="single" w:sz="4" w:space="0" w:color="auto"/>
              <w:right w:val="single" w:sz="4" w:space="0" w:color="auto"/>
            </w:tcBorders>
            <w:shd w:val="clear" w:color="auto" w:fill="auto"/>
            <w:hideMark/>
          </w:tcPr>
          <w:p w14:paraId="245A1C4E"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influenza in each age group [1-11, 12-23, 24-59]</w:t>
            </w:r>
          </w:p>
        </w:tc>
        <w:tc>
          <w:tcPr>
            <w:tcW w:w="992" w:type="dxa"/>
            <w:tcBorders>
              <w:top w:val="nil"/>
              <w:left w:val="nil"/>
              <w:bottom w:val="single" w:sz="4" w:space="0" w:color="auto"/>
              <w:right w:val="single" w:sz="4" w:space="0" w:color="auto"/>
            </w:tcBorders>
            <w:shd w:val="clear" w:color="auto" w:fill="auto"/>
            <w:hideMark/>
          </w:tcPr>
          <w:p w14:paraId="2FFCA2B2"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0.0177, 0.012, 0.0017</w:t>
            </w:r>
          </w:p>
        </w:tc>
        <w:tc>
          <w:tcPr>
            <w:tcW w:w="3355" w:type="dxa"/>
            <w:vMerge/>
            <w:tcBorders>
              <w:top w:val="nil"/>
              <w:left w:val="single" w:sz="4" w:space="0" w:color="auto"/>
              <w:bottom w:val="single" w:sz="4" w:space="0" w:color="auto"/>
              <w:right w:val="single" w:sz="4" w:space="0" w:color="auto"/>
            </w:tcBorders>
            <w:vAlign w:val="center"/>
            <w:hideMark/>
          </w:tcPr>
          <w:p w14:paraId="09FA4FA6"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55776217"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1E057DC3"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lastRenderedPageBreak/>
              <w:t>base_inc_rate_ALRI_by_P.jirovecii</w:t>
            </w:r>
          </w:p>
        </w:tc>
        <w:tc>
          <w:tcPr>
            <w:tcW w:w="3402" w:type="dxa"/>
            <w:tcBorders>
              <w:top w:val="nil"/>
              <w:left w:val="nil"/>
              <w:bottom w:val="single" w:sz="4" w:space="0" w:color="auto"/>
              <w:right w:val="single" w:sz="4" w:space="0" w:color="auto"/>
            </w:tcBorders>
            <w:shd w:val="clear" w:color="auto" w:fill="auto"/>
            <w:hideMark/>
          </w:tcPr>
          <w:p w14:paraId="53B6687F"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P. jirovecii in each age group [1-11, 12-23, 24-59]</w:t>
            </w:r>
          </w:p>
        </w:tc>
        <w:tc>
          <w:tcPr>
            <w:tcW w:w="992" w:type="dxa"/>
            <w:tcBorders>
              <w:top w:val="nil"/>
              <w:left w:val="nil"/>
              <w:bottom w:val="single" w:sz="4" w:space="0" w:color="auto"/>
              <w:right w:val="single" w:sz="4" w:space="0" w:color="auto"/>
            </w:tcBorders>
            <w:shd w:val="clear" w:color="auto" w:fill="auto"/>
            <w:hideMark/>
          </w:tcPr>
          <w:p w14:paraId="17D3B4FE"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0.0092, 0.0007, 0.0001</w:t>
            </w:r>
          </w:p>
        </w:tc>
        <w:tc>
          <w:tcPr>
            <w:tcW w:w="3355" w:type="dxa"/>
            <w:tcBorders>
              <w:top w:val="nil"/>
              <w:left w:val="nil"/>
              <w:bottom w:val="single" w:sz="4" w:space="0" w:color="auto"/>
              <w:right w:val="single" w:sz="4" w:space="0" w:color="auto"/>
            </w:tcBorders>
            <w:shd w:val="clear" w:color="auto" w:fill="auto"/>
            <w:hideMark/>
          </w:tcPr>
          <w:p w14:paraId="2FD33A7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 </w:t>
            </w:r>
          </w:p>
        </w:tc>
      </w:tr>
      <w:tr w:rsidR="000979B2" w:rsidRPr="002515AD" w14:paraId="40C1909C" w14:textId="77777777" w:rsidTr="000979B2">
        <w:trPr>
          <w:trHeight w:val="810"/>
        </w:trPr>
        <w:tc>
          <w:tcPr>
            <w:tcW w:w="2542" w:type="dxa"/>
            <w:tcBorders>
              <w:top w:val="nil"/>
              <w:left w:val="single" w:sz="4" w:space="0" w:color="auto"/>
              <w:bottom w:val="single" w:sz="4" w:space="0" w:color="auto"/>
              <w:right w:val="single" w:sz="4" w:space="0" w:color="auto"/>
            </w:tcBorders>
            <w:shd w:val="clear" w:color="auto" w:fill="auto"/>
            <w:hideMark/>
          </w:tcPr>
          <w:p w14:paraId="5FFAEB4A"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base_inc_rate_ALRI_by_Bocavirus</w:t>
            </w:r>
          </w:p>
        </w:tc>
        <w:tc>
          <w:tcPr>
            <w:tcW w:w="3402" w:type="dxa"/>
            <w:tcBorders>
              <w:top w:val="nil"/>
              <w:left w:val="nil"/>
              <w:bottom w:val="single" w:sz="4" w:space="0" w:color="auto"/>
              <w:right w:val="single" w:sz="4" w:space="0" w:color="auto"/>
            </w:tcBorders>
            <w:shd w:val="clear" w:color="auto" w:fill="auto"/>
            <w:hideMark/>
          </w:tcPr>
          <w:p w14:paraId="3821550B"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bovavirus in each age group [1-11, 12-23, 24-59]</w:t>
            </w:r>
          </w:p>
        </w:tc>
        <w:tc>
          <w:tcPr>
            <w:tcW w:w="992" w:type="dxa"/>
            <w:tcBorders>
              <w:top w:val="nil"/>
              <w:left w:val="nil"/>
              <w:bottom w:val="single" w:sz="4" w:space="0" w:color="auto"/>
              <w:right w:val="single" w:sz="4" w:space="0" w:color="auto"/>
            </w:tcBorders>
            <w:shd w:val="clear" w:color="auto" w:fill="auto"/>
            <w:hideMark/>
          </w:tcPr>
          <w:p w14:paraId="71C854B2"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0.0128, 0.0066, 0</w:t>
            </w:r>
          </w:p>
        </w:tc>
        <w:tc>
          <w:tcPr>
            <w:tcW w:w="3355" w:type="dxa"/>
            <w:vMerge w:val="restart"/>
            <w:tcBorders>
              <w:top w:val="nil"/>
              <w:left w:val="single" w:sz="4" w:space="0" w:color="auto"/>
              <w:bottom w:val="single" w:sz="4" w:space="0" w:color="000000"/>
              <w:right w:val="single" w:sz="4" w:space="0" w:color="auto"/>
            </w:tcBorders>
            <w:shd w:val="clear" w:color="auto" w:fill="auto"/>
            <w:hideMark/>
          </w:tcPr>
          <w:p w14:paraId="2D66185E"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PERCH's AFs of CXR+ for adenovirus, bocavirus, other viral and other bacterial pathogens are not provided in the article. These are currently not included in deriving the incidence of pneumonia</w:t>
            </w:r>
          </w:p>
        </w:tc>
      </w:tr>
      <w:tr w:rsidR="000979B2" w:rsidRPr="002515AD" w14:paraId="3656BB6B"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5CD58EEE"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base_inc_rate_ALRI_by_Adenovirus</w:t>
            </w:r>
          </w:p>
        </w:tc>
        <w:tc>
          <w:tcPr>
            <w:tcW w:w="3402" w:type="dxa"/>
            <w:tcBorders>
              <w:top w:val="nil"/>
              <w:left w:val="nil"/>
              <w:bottom w:val="single" w:sz="4" w:space="0" w:color="auto"/>
              <w:right w:val="single" w:sz="4" w:space="0" w:color="auto"/>
            </w:tcBorders>
            <w:shd w:val="clear" w:color="auto" w:fill="auto"/>
            <w:hideMark/>
          </w:tcPr>
          <w:p w14:paraId="07D92DA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adenovirus in each age group [1-11, 12-23, 24-59]</w:t>
            </w:r>
          </w:p>
        </w:tc>
        <w:tc>
          <w:tcPr>
            <w:tcW w:w="992" w:type="dxa"/>
            <w:tcBorders>
              <w:top w:val="nil"/>
              <w:left w:val="nil"/>
              <w:bottom w:val="single" w:sz="4" w:space="0" w:color="auto"/>
              <w:right w:val="single" w:sz="4" w:space="0" w:color="auto"/>
            </w:tcBorders>
            <w:shd w:val="clear" w:color="auto" w:fill="auto"/>
            <w:hideMark/>
          </w:tcPr>
          <w:p w14:paraId="31B86C48"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0.0128, 0.0066, 0</w:t>
            </w:r>
          </w:p>
        </w:tc>
        <w:tc>
          <w:tcPr>
            <w:tcW w:w="3355" w:type="dxa"/>
            <w:vMerge/>
            <w:tcBorders>
              <w:top w:val="nil"/>
              <w:left w:val="single" w:sz="4" w:space="0" w:color="auto"/>
              <w:bottom w:val="single" w:sz="4" w:space="0" w:color="000000"/>
              <w:right w:val="single" w:sz="4" w:space="0" w:color="auto"/>
            </w:tcBorders>
            <w:vAlign w:val="center"/>
            <w:hideMark/>
          </w:tcPr>
          <w:p w14:paraId="0B1EC42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112CBE90"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3860CFC3"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base_inc_rate_ALRI_by_other_viral_pathogens</w:t>
            </w:r>
          </w:p>
        </w:tc>
        <w:tc>
          <w:tcPr>
            <w:tcW w:w="3402" w:type="dxa"/>
            <w:tcBorders>
              <w:top w:val="nil"/>
              <w:left w:val="nil"/>
              <w:bottom w:val="single" w:sz="4" w:space="0" w:color="auto"/>
              <w:right w:val="single" w:sz="4" w:space="0" w:color="auto"/>
            </w:tcBorders>
            <w:shd w:val="clear" w:color="auto" w:fill="auto"/>
            <w:hideMark/>
          </w:tcPr>
          <w:p w14:paraId="750F4826"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other viral pathogens in each age group [1-11, 12-23, 24-59]</w:t>
            </w:r>
          </w:p>
        </w:tc>
        <w:tc>
          <w:tcPr>
            <w:tcW w:w="992" w:type="dxa"/>
            <w:tcBorders>
              <w:top w:val="nil"/>
              <w:left w:val="nil"/>
              <w:bottom w:val="single" w:sz="4" w:space="0" w:color="auto"/>
              <w:right w:val="single" w:sz="4" w:space="0" w:color="auto"/>
            </w:tcBorders>
            <w:shd w:val="clear" w:color="auto" w:fill="auto"/>
            <w:hideMark/>
          </w:tcPr>
          <w:p w14:paraId="664FD19D"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0.0001, 0.0001, 0.0001</w:t>
            </w:r>
          </w:p>
        </w:tc>
        <w:tc>
          <w:tcPr>
            <w:tcW w:w="3355" w:type="dxa"/>
            <w:vMerge/>
            <w:tcBorders>
              <w:top w:val="nil"/>
              <w:left w:val="single" w:sz="4" w:space="0" w:color="auto"/>
              <w:bottom w:val="single" w:sz="4" w:space="0" w:color="000000"/>
              <w:right w:val="single" w:sz="4" w:space="0" w:color="auto"/>
            </w:tcBorders>
            <w:vAlign w:val="center"/>
            <w:hideMark/>
          </w:tcPr>
          <w:p w14:paraId="1F295EF6"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59FCC656"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7C9760D1"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base_inc_rate_ALRI_by_other_bacterial_pathogens</w:t>
            </w:r>
          </w:p>
        </w:tc>
        <w:tc>
          <w:tcPr>
            <w:tcW w:w="3402" w:type="dxa"/>
            <w:tcBorders>
              <w:top w:val="nil"/>
              <w:left w:val="nil"/>
              <w:bottom w:val="single" w:sz="4" w:space="0" w:color="auto"/>
              <w:right w:val="single" w:sz="4" w:space="0" w:color="auto"/>
            </w:tcBorders>
            <w:shd w:val="clear" w:color="auto" w:fill="auto"/>
            <w:hideMark/>
          </w:tcPr>
          <w:p w14:paraId="566A2F34"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incidence of ALRI attributed to other bacterial pathogens in each age group [1-11, 12-23, 24-59]</w:t>
            </w:r>
          </w:p>
        </w:tc>
        <w:tc>
          <w:tcPr>
            <w:tcW w:w="992" w:type="dxa"/>
            <w:tcBorders>
              <w:top w:val="nil"/>
              <w:left w:val="nil"/>
              <w:bottom w:val="single" w:sz="4" w:space="0" w:color="auto"/>
              <w:right w:val="single" w:sz="4" w:space="0" w:color="auto"/>
            </w:tcBorders>
            <w:shd w:val="clear" w:color="auto" w:fill="auto"/>
            <w:hideMark/>
          </w:tcPr>
          <w:p w14:paraId="42A1D2B4"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0.0428, 0.0579, 0.015</w:t>
            </w:r>
          </w:p>
        </w:tc>
        <w:tc>
          <w:tcPr>
            <w:tcW w:w="3355" w:type="dxa"/>
            <w:vMerge/>
            <w:tcBorders>
              <w:top w:val="nil"/>
              <w:left w:val="single" w:sz="4" w:space="0" w:color="auto"/>
              <w:bottom w:val="single" w:sz="4" w:space="0" w:color="000000"/>
              <w:right w:val="single" w:sz="4" w:space="0" w:color="auto"/>
            </w:tcBorders>
            <w:vAlign w:val="center"/>
            <w:hideMark/>
          </w:tcPr>
          <w:p w14:paraId="551D240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17722124"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5151B33F"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rr_ALRI_Hhhandwashing</w:t>
            </w:r>
          </w:p>
        </w:tc>
        <w:tc>
          <w:tcPr>
            <w:tcW w:w="3402" w:type="dxa"/>
            <w:tcBorders>
              <w:top w:val="nil"/>
              <w:left w:val="nil"/>
              <w:bottom w:val="single" w:sz="4" w:space="0" w:color="auto"/>
              <w:right w:val="single" w:sz="4" w:space="0" w:color="auto"/>
            </w:tcBorders>
            <w:shd w:val="clear" w:color="auto" w:fill="auto"/>
            <w:hideMark/>
          </w:tcPr>
          <w:p w14:paraId="46566834"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relative rate of acquiring ALRI for children with household handwashing practice</w:t>
            </w:r>
          </w:p>
        </w:tc>
        <w:tc>
          <w:tcPr>
            <w:tcW w:w="992" w:type="dxa"/>
            <w:tcBorders>
              <w:top w:val="nil"/>
              <w:left w:val="nil"/>
              <w:bottom w:val="single" w:sz="4" w:space="0" w:color="auto"/>
              <w:right w:val="single" w:sz="4" w:space="0" w:color="auto"/>
            </w:tcBorders>
            <w:shd w:val="clear" w:color="auto" w:fill="auto"/>
            <w:hideMark/>
          </w:tcPr>
          <w:p w14:paraId="7BE87771"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dummy</w:t>
            </w:r>
          </w:p>
        </w:tc>
        <w:tc>
          <w:tcPr>
            <w:tcW w:w="3355" w:type="dxa"/>
            <w:tcBorders>
              <w:top w:val="nil"/>
              <w:left w:val="nil"/>
              <w:bottom w:val="single" w:sz="4" w:space="0" w:color="auto"/>
              <w:right w:val="single" w:sz="4" w:space="0" w:color="auto"/>
            </w:tcBorders>
            <w:shd w:val="clear" w:color="auto" w:fill="auto"/>
            <w:hideMark/>
          </w:tcPr>
          <w:p w14:paraId="203B211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 </w:t>
            </w:r>
          </w:p>
        </w:tc>
      </w:tr>
      <w:tr w:rsidR="000979B2" w:rsidRPr="002515AD" w14:paraId="443C6866"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106E201F"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rr_ALRI_indoor_air_pollution</w:t>
            </w:r>
          </w:p>
        </w:tc>
        <w:tc>
          <w:tcPr>
            <w:tcW w:w="3402" w:type="dxa"/>
            <w:tcBorders>
              <w:top w:val="nil"/>
              <w:left w:val="nil"/>
              <w:bottom w:val="single" w:sz="4" w:space="0" w:color="auto"/>
              <w:right w:val="single" w:sz="4" w:space="0" w:color="auto"/>
            </w:tcBorders>
            <w:shd w:val="clear" w:color="auto" w:fill="auto"/>
            <w:hideMark/>
          </w:tcPr>
          <w:p w14:paraId="6BD30805"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relative rate of acquiring ALRI for children exposed to indoor air pollution</w:t>
            </w:r>
          </w:p>
        </w:tc>
        <w:tc>
          <w:tcPr>
            <w:tcW w:w="992" w:type="dxa"/>
            <w:tcBorders>
              <w:top w:val="nil"/>
              <w:left w:val="nil"/>
              <w:bottom w:val="single" w:sz="4" w:space="0" w:color="auto"/>
              <w:right w:val="single" w:sz="4" w:space="0" w:color="auto"/>
            </w:tcBorders>
            <w:shd w:val="clear" w:color="auto" w:fill="auto"/>
            <w:hideMark/>
          </w:tcPr>
          <w:p w14:paraId="19E7A1F4"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OR 1.57 (1.06-2.31)</w:t>
            </w:r>
          </w:p>
        </w:tc>
        <w:tc>
          <w:tcPr>
            <w:tcW w:w="3355" w:type="dxa"/>
            <w:vMerge w:val="restart"/>
            <w:tcBorders>
              <w:top w:val="nil"/>
              <w:left w:val="single" w:sz="4" w:space="0" w:color="auto"/>
              <w:bottom w:val="single" w:sz="4" w:space="0" w:color="auto"/>
              <w:right w:val="single" w:sz="4" w:space="0" w:color="auto"/>
            </w:tcBorders>
            <w:shd w:val="clear" w:color="auto" w:fill="auto"/>
            <w:hideMark/>
          </w:tcPr>
          <w:p w14:paraId="663CC41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meta-analysis results on risk factors for severe ALRI - it was applied the WHO-pneumonia case definition, in which many non-severe (fast-breathing only) pneumonia/ALRI are not true cases of pneumonia.  Reference: Jackson, S. et al. 2013</w:t>
            </w:r>
          </w:p>
        </w:tc>
      </w:tr>
      <w:tr w:rsidR="000979B2" w:rsidRPr="002515AD" w14:paraId="7C7E4A5A"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5C7DDF0E"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rr_ALRI_not_excl_breastfeeding</w:t>
            </w:r>
          </w:p>
        </w:tc>
        <w:tc>
          <w:tcPr>
            <w:tcW w:w="3402" w:type="dxa"/>
            <w:tcBorders>
              <w:top w:val="nil"/>
              <w:left w:val="nil"/>
              <w:bottom w:val="single" w:sz="4" w:space="0" w:color="auto"/>
              <w:right w:val="single" w:sz="4" w:space="0" w:color="auto"/>
            </w:tcBorders>
            <w:shd w:val="clear" w:color="auto" w:fill="auto"/>
            <w:hideMark/>
          </w:tcPr>
          <w:p w14:paraId="63E2F94B"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relative rate of acquiring ALRI for children who are NOT exclusively breastfed</w:t>
            </w:r>
          </w:p>
        </w:tc>
        <w:tc>
          <w:tcPr>
            <w:tcW w:w="992" w:type="dxa"/>
            <w:tcBorders>
              <w:top w:val="nil"/>
              <w:left w:val="nil"/>
              <w:bottom w:val="single" w:sz="4" w:space="0" w:color="auto"/>
              <w:right w:val="single" w:sz="4" w:space="0" w:color="auto"/>
            </w:tcBorders>
            <w:shd w:val="clear" w:color="auto" w:fill="auto"/>
            <w:hideMark/>
          </w:tcPr>
          <w:p w14:paraId="1582B0F4"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OR 2.34 (1.42-3.88)</w:t>
            </w:r>
          </w:p>
        </w:tc>
        <w:tc>
          <w:tcPr>
            <w:tcW w:w="3355" w:type="dxa"/>
            <w:vMerge/>
            <w:tcBorders>
              <w:top w:val="nil"/>
              <w:left w:val="single" w:sz="4" w:space="0" w:color="auto"/>
              <w:bottom w:val="single" w:sz="4" w:space="0" w:color="auto"/>
              <w:right w:val="single" w:sz="4" w:space="0" w:color="auto"/>
            </w:tcBorders>
            <w:vAlign w:val="center"/>
            <w:hideMark/>
          </w:tcPr>
          <w:p w14:paraId="51CB3A0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3A00CB61"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13F74BCB"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rr_ALRI_low_birth_weight</w:t>
            </w:r>
          </w:p>
        </w:tc>
        <w:tc>
          <w:tcPr>
            <w:tcW w:w="3402" w:type="dxa"/>
            <w:tcBorders>
              <w:top w:val="nil"/>
              <w:left w:val="nil"/>
              <w:bottom w:val="single" w:sz="4" w:space="0" w:color="auto"/>
              <w:right w:val="single" w:sz="4" w:space="0" w:color="auto"/>
            </w:tcBorders>
            <w:shd w:val="clear" w:color="auto" w:fill="auto"/>
            <w:hideMark/>
          </w:tcPr>
          <w:p w14:paraId="11237035"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relative rate of acquiring ALRI for children who have low birth weight - applicable till 6 months</w:t>
            </w:r>
          </w:p>
        </w:tc>
        <w:tc>
          <w:tcPr>
            <w:tcW w:w="992" w:type="dxa"/>
            <w:tcBorders>
              <w:top w:val="nil"/>
              <w:left w:val="nil"/>
              <w:bottom w:val="single" w:sz="4" w:space="0" w:color="auto"/>
              <w:right w:val="single" w:sz="4" w:space="0" w:color="auto"/>
            </w:tcBorders>
            <w:shd w:val="clear" w:color="auto" w:fill="auto"/>
            <w:hideMark/>
          </w:tcPr>
          <w:p w14:paraId="17946358"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OR 3.18 (1.02-9.90)</w:t>
            </w:r>
          </w:p>
        </w:tc>
        <w:tc>
          <w:tcPr>
            <w:tcW w:w="3355" w:type="dxa"/>
            <w:vMerge/>
            <w:tcBorders>
              <w:top w:val="nil"/>
              <w:left w:val="single" w:sz="4" w:space="0" w:color="auto"/>
              <w:bottom w:val="single" w:sz="4" w:space="0" w:color="auto"/>
              <w:right w:val="single" w:sz="4" w:space="0" w:color="auto"/>
            </w:tcBorders>
            <w:vAlign w:val="center"/>
            <w:hideMark/>
          </w:tcPr>
          <w:p w14:paraId="32B3E26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0CB18DC1"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4B8712CB"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rr_ALRI_HIV</w:t>
            </w:r>
          </w:p>
        </w:tc>
        <w:tc>
          <w:tcPr>
            <w:tcW w:w="3402" w:type="dxa"/>
            <w:tcBorders>
              <w:top w:val="nil"/>
              <w:left w:val="nil"/>
              <w:bottom w:val="single" w:sz="4" w:space="0" w:color="auto"/>
              <w:right w:val="single" w:sz="4" w:space="0" w:color="auto"/>
            </w:tcBorders>
            <w:shd w:val="clear" w:color="auto" w:fill="auto"/>
            <w:hideMark/>
          </w:tcPr>
          <w:p w14:paraId="17E8C553"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relative rate of acquiring ALRI for children who are HIV positive</w:t>
            </w:r>
          </w:p>
        </w:tc>
        <w:tc>
          <w:tcPr>
            <w:tcW w:w="992" w:type="dxa"/>
            <w:tcBorders>
              <w:top w:val="nil"/>
              <w:left w:val="nil"/>
              <w:bottom w:val="single" w:sz="4" w:space="0" w:color="auto"/>
              <w:right w:val="single" w:sz="4" w:space="0" w:color="auto"/>
            </w:tcBorders>
            <w:shd w:val="clear" w:color="auto" w:fill="auto"/>
            <w:hideMark/>
          </w:tcPr>
          <w:p w14:paraId="57E6B0E1"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OR 4.15 (2.57-9.74)</w:t>
            </w:r>
          </w:p>
        </w:tc>
        <w:tc>
          <w:tcPr>
            <w:tcW w:w="3355" w:type="dxa"/>
            <w:vMerge/>
            <w:tcBorders>
              <w:top w:val="nil"/>
              <w:left w:val="single" w:sz="4" w:space="0" w:color="auto"/>
              <w:bottom w:val="single" w:sz="4" w:space="0" w:color="auto"/>
              <w:right w:val="single" w:sz="4" w:space="0" w:color="auto"/>
            </w:tcBorders>
            <w:vAlign w:val="center"/>
            <w:hideMark/>
          </w:tcPr>
          <w:p w14:paraId="481C9CA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320AE775"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1297E09C"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rr_ALRI_underweight</w:t>
            </w:r>
          </w:p>
        </w:tc>
        <w:tc>
          <w:tcPr>
            <w:tcW w:w="3402" w:type="dxa"/>
            <w:tcBorders>
              <w:top w:val="nil"/>
              <w:left w:val="nil"/>
              <w:bottom w:val="single" w:sz="4" w:space="0" w:color="auto"/>
              <w:right w:val="single" w:sz="4" w:space="0" w:color="auto"/>
            </w:tcBorders>
            <w:shd w:val="clear" w:color="auto" w:fill="auto"/>
            <w:hideMark/>
          </w:tcPr>
          <w:p w14:paraId="67907CB0"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relative rate of acquiring ALRI for children who are underweight (weight-for-age &lt;2 SD)</w:t>
            </w:r>
          </w:p>
        </w:tc>
        <w:tc>
          <w:tcPr>
            <w:tcW w:w="992" w:type="dxa"/>
            <w:tcBorders>
              <w:top w:val="nil"/>
              <w:left w:val="nil"/>
              <w:bottom w:val="single" w:sz="4" w:space="0" w:color="auto"/>
              <w:right w:val="single" w:sz="4" w:space="0" w:color="auto"/>
            </w:tcBorders>
            <w:shd w:val="clear" w:color="auto" w:fill="auto"/>
            <w:hideMark/>
          </w:tcPr>
          <w:p w14:paraId="2D0C58BC"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OR 4.47 (2.10-9.49)</w:t>
            </w:r>
          </w:p>
        </w:tc>
        <w:tc>
          <w:tcPr>
            <w:tcW w:w="3355" w:type="dxa"/>
            <w:tcBorders>
              <w:top w:val="nil"/>
              <w:left w:val="nil"/>
              <w:bottom w:val="single" w:sz="4" w:space="0" w:color="auto"/>
              <w:right w:val="single" w:sz="4" w:space="0" w:color="auto"/>
            </w:tcBorders>
            <w:shd w:val="clear" w:color="auto" w:fill="auto"/>
            <w:hideMark/>
          </w:tcPr>
          <w:p w14:paraId="4DB4F43F"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will need to include protein-energy malnutrition (weight-for-h</w:t>
            </w:r>
            <w:r>
              <w:rPr>
                <w:rFonts w:eastAsia="Times New Roman" w:cs="Arial"/>
                <w:color w:val="000000"/>
                <w:sz w:val="20"/>
                <w:szCs w:val="20"/>
                <w:lang w:eastAsia="en-GB"/>
              </w:rPr>
              <w:t>e</w:t>
            </w:r>
            <w:r w:rsidRPr="002515AD">
              <w:rPr>
                <w:rFonts w:eastAsia="Times New Roman" w:cs="Arial"/>
                <w:color w:val="000000"/>
                <w:sz w:val="20"/>
                <w:szCs w:val="20"/>
                <w:lang w:eastAsia="en-GB"/>
              </w:rPr>
              <w:t>ight)</w:t>
            </w:r>
          </w:p>
        </w:tc>
      </w:tr>
      <w:tr w:rsidR="000979B2" w:rsidRPr="002515AD" w14:paraId="46783546"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noWrap/>
            <w:hideMark/>
          </w:tcPr>
          <w:p w14:paraId="675E53C9"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rr_ALRI_PCV13</w:t>
            </w:r>
          </w:p>
        </w:tc>
        <w:tc>
          <w:tcPr>
            <w:tcW w:w="3402" w:type="dxa"/>
            <w:tcBorders>
              <w:top w:val="nil"/>
              <w:left w:val="nil"/>
              <w:bottom w:val="single" w:sz="4" w:space="0" w:color="auto"/>
              <w:right w:val="single" w:sz="4" w:space="0" w:color="auto"/>
            </w:tcBorders>
            <w:shd w:val="clear" w:color="auto" w:fill="auto"/>
            <w:hideMark/>
          </w:tcPr>
          <w:p w14:paraId="28C12F85"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relative rate of acquiring ALRI for children who are vaccinated with PCV13</w:t>
            </w:r>
          </w:p>
        </w:tc>
        <w:tc>
          <w:tcPr>
            <w:tcW w:w="992" w:type="dxa"/>
            <w:tcBorders>
              <w:top w:val="nil"/>
              <w:left w:val="nil"/>
              <w:bottom w:val="single" w:sz="4" w:space="0" w:color="auto"/>
              <w:right w:val="single" w:sz="4" w:space="0" w:color="auto"/>
            </w:tcBorders>
            <w:shd w:val="clear" w:color="auto" w:fill="auto"/>
            <w:hideMark/>
          </w:tcPr>
          <w:p w14:paraId="1648D191"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029C6FC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123937C8"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noWrap/>
            <w:hideMark/>
          </w:tcPr>
          <w:p w14:paraId="0CA0A96F"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rr_ALRI_hib_vaccine</w:t>
            </w:r>
          </w:p>
        </w:tc>
        <w:tc>
          <w:tcPr>
            <w:tcW w:w="3402" w:type="dxa"/>
            <w:tcBorders>
              <w:top w:val="nil"/>
              <w:left w:val="nil"/>
              <w:bottom w:val="single" w:sz="4" w:space="0" w:color="auto"/>
              <w:right w:val="single" w:sz="4" w:space="0" w:color="auto"/>
            </w:tcBorders>
            <w:shd w:val="clear" w:color="auto" w:fill="auto"/>
            <w:hideMark/>
          </w:tcPr>
          <w:p w14:paraId="0A90BA21"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relative rate of acquiring ALRI for children who are vaccinated with hib</w:t>
            </w:r>
          </w:p>
        </w:tc>
        <w:tc>
          <w:tcPr>
            <w:tcW w:w="992" w:type="dxa"/>
            <w:tcBorders>
              <w:top w:val="nil"/>
              <w:left w:val="nil"/>
              <w:bottom w:val="single" w:sz="4" w:space="0" w:color="auto"/>
              <w:right w:val="single" w:sz="4" w:space="0" w:color="auto"/>
            </w:tcBorders>
            <w:shd w:val="clear" w:color="auto" w:fill="auto"/>
            <w:hideMark/>
          </w:tcPr>
          <w:p w14:paraId="6D413D4E"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0.9</w:t>
            </w:r>
          </w:p>
        </w:tc>
        <w:tc>
          <w:tcPr>
            <w:tcW w:w="3355" w:type="dxa"/>
            <w:tcBorders>
              <w:top w:val="nil"/>
              <w:left w:val="nil"/>
              <w:bottom w:val="single" w:sz="4" w:space="0" w:color="auto"/>
              <w:right w:val="single" w:sz="4" w:space="0" w:color="auto"/>
            </w:tcBorders>
            <w:shd w:val="clear" w:color="auto" w:fill="auto"/>
            <w:hideMark/>
          </w:tcPr>
          <w:p w14:paraId="7AD9D7D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204EFA8A"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noWrap/>
            <w:hideMark/>
          </w:tcPr>
          <w:p w14:paraId="381DB8D1"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rr_ALRI_RSV_vaccine</w:t>
            </w:r>
          </w:p>
        </w:tc>
        <w:tc>
          <w:tcPr>
            <w:tcW w:w="3402" w:type="dxa"/>
            <w:tcBorders>
              <w:top w:val="nil"/>
              <w:left w:val="nil"/>
              <w:bottom w:val="single" w:sz="4" w:space="0" w:color="auto"/>
              <w:right w:val="single" w:sz="4" w:space="0" w:color="auto"/>
            </w:tcBorders>
            <w:shd w:val="clear" w:color="auto" w:fill="auto"/>
            <w:hideMark/>
          </w:tcPr>
          <w:p w14:paraId="6747F680"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relative rate of acquiring ALRI for children who are vaccinated with RSV-vaccine</w:t>
            </w:r>
          </w:p>
        </w:tc>
        <w:tc>
          <w:tcPr>
            <w:tcW w:w="992" w:type="dxa"/>
            <w:tcBorders>
              <w:top w:val="nil"/>
              <w:left w:val="nil"/>
              <w:bottom w:val="single" w:sz="4" w:space="0" w:color="auto"/>
              <w:right w:val="single" w:sz="4" w:space="0" w:color="auto"/>
            </w:tcBorders>
            <w:shd w:val="clear" w:color="auto" w:fill="auto"/>
            <w:hideMark/>
          </w:tcPr>
          <w:p w14:paraId="4EC87EC4"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0.6</w:t>
            </w:r>
          </w:p>
        </w:tc>
        <w:tc>
          <w:tcPr>
            <w:tcW w:w="3355" w:type="dxa"/>
            <w:tcBorders>
              <w:top w:val="nil"/>
              <w:left w:val="nil"/>
              <w:bottom w:val="single" w:sz="4" w:space="0" w:color="auto"/>
              <w:right w:val="single" w:sz="4" w:space="0" w:color="auto"/>
            </w:tcBorders>
            <w:shd w:val="clear" w:color="auto" w:fill="auto"/>
            <w:hideMark/>
          </w:tcPr>
          <w:p w14:paraId="7CB3FF1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still in clinical trials</w:t>
            </w:r>
          </w:p>
        </w:tc>
      </w:tr>
      <w:tr w:rsidR="000979B2" w:rsidRPr="002515AD" w14:paraId="5F0C77D7"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10EE557B"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prob_viral_pneumonia_bacterial_coinfection</w:t>
            </w:r>
          </w:p>
        </w:tc>
        <w:tc>
          <w:tcPr>
            <w:tcW w:w="3402" w:type="dxa"/>
            <w:tcBorders>
              <w:top w:val="nil"/>
              <w:left w:val="nil"/>
              <w:bottom w:val="single" w:sz="4" w:space="0" w:color="auto"/>
              <w:right w:val="single" w:sz="4" w:space="0" w:color="auto"/>
            </w:tcBorders>
            <w:shd w:val="clear" w:color="auto" w:fill="auto"/>
            <w:hideMark/>
          </w:tcPr>
          <w:p w14:paraId="2251FEE4"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viral-bacterial co-infection / or secondary bacterial infection</w:t>
            </w:r>
          </w:p>
        </w:tc>
        <w:tc>
          <w:tcPr>
            <w:tcW w:w="992" w:type="dxa"/>
            <w:tcBorders>
              <w:top w:val="nil"/>
              <w:left w:val="nil"/>
              <w:bottom w:val="single" w:sz="4" w:space="0" w:color="auto"/>
              <w:right w:val="single" w:sz="4" w:space="0" w:color="auto"/>
            </w:tcBorders>
            <w:shd w:val="clear" w:color="auto" w:fill="auto"/>
            <w:hideMark/>
          </w:tcPr>
          <w:p w14:paraId="3EAC34F0"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0.15</w:t>
            </w:r>
          </w:p>
        </w:tc>
        <w:tc>
          <w:tcPr>
            <w:tcW w:w="3355" w:type="dxa"/>
            <w:tcBorders>
              <w:top w:val="nil"/>
              <w:left w:val="nil"/>
              <w:bottom w:val="single" w:sz="4" w:space="0" w:color="auto"/>
              <w:right w:val="single" w:sz="4" w:space="0" w:color="auto"/>
            </w:tcBorders>
            <w:shd w:val="clear" w:color="auto" w:fill="auto"/>
            <w:hideMark/>
          </w:tcPr>
          <w:p w14:paraId="6F77B94B"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these are the probabilities for developing a certain complication, as illustrated in the natural history diagram</w:t>
            </w:r>
          </w:p>
        </w:tc>
      </w:tr>
      <w:tr w:rsidR="000979B2" w:rsidRPr="002515AD" w14:paraId="3D08DA09" w14:textId="77777777" w:rsidTr="000979B2">
        <w:trPr>
          <w:trHeight w:val="2000"/>
        </w:trPr>
        <w:tc>
          <w:tcPr>
            <w:tcW w:w="2542" w:type="dxa"/>
            <w:tcBorders>
              <w:top w:val="nil"/>
              <w:left w:val="single" w:sz="4" w:space="0" w:color="auto"/>
              <w:bottom w:val="single" w:sz="4" w:space="0" w:color="auto"/>
              <w:right w:val="single" w:sz="4" w:space="0" w:color="auto"/>
            </w:tcBorders>
            <w:shd w:val="clear" w:color="auto" w:fill="auto"/>
            <w:hideMark/>
          </w:tcPr>
          <w:p w14:paraId="7C5E6E36"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porportion_bacterial_coinfection_pathogen</w:t>
            </w:r>
          </w:p>
        </w:tc>
        <w:tc>
          <w:tcPr>
            <w:tcW w:w="3402" w:type="dxa"/>
            <w:tcBorders>
              <w:top w:val="nil"/>
              <w:left w:val="nil"/>
              <w:bottom w:val="single" w:sz="4" w:space="0" w:color="auto"/>
              <w:right w:val="single" w:sz="4" w:space="0" w:color="auto"/>
            </w:tcBorders>
            <w:shd w:val="clear" w:color="auto" w:fill="auto"/>
            <w:hideMark/>
          </w:tcPr>
          <w:p w14:paraId="4DB6F82A"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proportion of causal pathogens of the secondary infection [Strep_pneumoniae_PCV13', 'Strep_pneumoniae_non_PCV13', 'Hib', 'H.influenzae_non_type_b', 'Staph_aureus', 'Enterobacteriaceae', 'other_Strepto_Enterococci', 'other_bacterial_pathogens']</w:t>
            </w:r>
          </w:p>
        </w:tc>
        <w:tc>
          <w:tcPr>
            <w:tcW w:w="992" w:type="dxa"/>
            <w:tcBorders>
              <w:top w:val="nil"/>
              <w:left w:val="nil"/>
              <w:bottom w:val="single" w:sz="4" w:space="0" w:color="auto"/>
              <w:right w:val="single" w:sz="4" w:space="0" w:color="auto"/>
            </w:tcBorders>
            <w:shd w:val="clear" w:color="auto" w:fill="auto"/>
            <w:hideMark/>
          </w:tcPr>
          <w:p w14:paraId="7F5B487B"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[0.125, 0.125, 0.125, 0.125, 0.125, 0.125, 0.125, 0.125]</w:t>
            </w:r>
          </w:p>
        </w:tc>
        <w:tc>
          <w:tcPr>
            <w:tcW w:w="3355" w:type="dxa"/>
            <w:tcBorders>
              <w:top w:val="nil"/>
              <w:left w:val="nil"/>
              <w:bottom w:val="single" w:sz="4" w:space="0" w:color="auto"/>
              <w:right w:val="single" w:sz="4" w:space="0" w:color="auto"/>
            </w:tcBorders>
            <w:shd w:val="clear" w:color="auto" w:fill="auto"/>
            <w:hideMark/>
          </w:tcPr>
          <w:p w14:paraId="6BF8A618"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values</w:t>
            </w:r>
          </w:p>
        </w:tc>
      </w:tr>
      <w:tr w:rsidR="000979B2" w:rsidRPr="002515AD" w14:paraId="2A82F0F4"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17A153BA"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prob_secondary_bacterial_infection_in_bronchiolitis</w:t>
            </w:r>
          </w:p>
        </w:tc>
        <w:tc>
          <w:tcPr>
            <w:tcW w:w="3402" w:type="dxa"/>
            <w:tcBorders>
              <w:top w:val="nil"/>
              <w:left w:val="nil"/>
              <w:bottom w:val="single" w:sz="4" w:space="0" w:color="auto"/>
              <w:right w:val="single" w:sz="4" w:space="0" w:color="auto"/>
            </w:tcBorders>
            <w:shd w:val="clear" w:color="auto" w:fill="auto"/>
            <w:hideMark/>
          </w:tcPr>
          <w:p w14:paraId="2315D2D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bacterial infection in bronchiolitis</w:t>
            </w:r>
          </w:p>
        </w:tc>
        <w:tc>
          <w:tcPr>
            <w:tcW w:w="992" w:type="dxa"/>
            <w:tcBorders>
              <w:top w:val="nil"/>
              <w:left w:val="nil"/>
              <w:bottom w:val="single" w:sz="4" w:space="0" w:color="auto"/>
              <w:right w:val="single" w:sz="4" w:space="0" w:color="auto"/>
            </w:tcBorders>
            <w:shd w:val="clear" w:color="auto" w:fill="auto"/>
            <w:hideMark/>
          </w:tcPr>
          <w:p w14:paraId="1746A53A"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0.03</w:t>
            </w:r>
          </w:p>
        </w:tc>
        <w:tc>
          <w:tcPr>
            <w:tcW w:w="3355" w:type="dxa"/>
            <w:tcBorders>
              <w:top w:val="nil"/>
              <w:left w:val="nil"/>
              <w:bottom w:val="single" w:sz="4" w:space="0" w:color="auto"/>
              <w:right w:val="single" w:sz="4" w:space="0" w:color="auto"/>
            </w:tcBorders>
            <w:shd w:val="clear" w:color="auto" w:fill="auto"/>
            <w:hideMark/>
          </w:tcPr>
          <w:p w14:paraId="0C3D661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643E6EF1"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7C627DA1"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prob_respiratory_failure_by_viral_pneumonia</w:t>
            </w:r>
          </w:p>
        </w:tc>
        <w:tc>
          <w:tcPr>
            <w:tcW w:w="3402" w:type="dxa"/>
            <w:tcBorders>
              <w:top w:val="nil"/>
              <w:left w:val="nil"/>
              <w:bottom w:val="single" w:sz="4" w:space="0" w:color="auto"/>
              <w:right w:val="single" w:sz="4" w:space="0" w:color="auto"/>
            </w:tcBorders>
            <w:shd w:val="clear" w:color="auto" w:fill="auto"/>
            <w:hideMark/>
          </w:tcPr>
          <w:p w14:paraId="697A8425"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respiratory failure in viral pneumonia</w:t>
            </w:r>
          </w:p>
        </w:tc>
        <w:tc>
          <w:tcPr>
            <w:tcW w:w="992" w:type="dxa"/>
            <w:tcBorders>
              <w:top w:val="nil"/>
              <w:left w:val="nil"/>
              <w:bottom w:val="single" w:sz="4" w:space="0" w:color="auto"/>
              <w:right w:val="single" w:sz="4" w:space="0" w:color="auto"/>
            </w:tcBorders>
            <w:shd w:val="clear" w:color="auto" w:fill="auto"/>
            <w:hideMark/>
          </w:tcPr>
          <w:p w14:paraId="1C2C669F"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0.095</w:t>
            </w:r>
          </w:p>
        </w:tc>
        <w:tc>
          <w:tcPr>
            <w:tcW w:w="3355" w:type="dxa"/>
            <w:tcBorders>
              <w:top w:val="nil"/>
              <w:left w:val="nil"/>
              <w:bottom w:val="single" w:sz="4" w:space="0" w:color="auto"/>
              <w:right w:val="single" w:sz="4" w:space="0" w:color="auto"/>
            </w:tcBorders>
            <w:shd w:val="clear" w:color="auto" w:fill="auto"/>
            <w:hideMark/>
          </w:tcPr>
          <w:p w14:paraId="6E6999CE"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3CA7CBFE" w14:textId="77777777" w:rsidTr="000979B2">
        <w:trPr>
          <w:trHeight w:val="490"/>
        </w:trPr>
        <w:tc>
          <w:tcPr>
            <w:tcW w:w="2542" w:type="dxa"/>
            <w:tcBorders>
              <w:top w:val="nil"/>
              <w:left w:val="single" w:sz="4" w:space="0" w:color="auto"/>
              <w:bottom w:val="single" w:sz="4" w:space="0" w:color="auto"/>
              <w:right w:val="single" w:sz="4" w:space="0" w:color="auto"/>
            </w:tcBorders>
            <w:shd w:val="clear" w:color="auto" w:fill="auto"/>
            <w:hideMark/>
          </w:tcPr>
          <w:p w14:paraId="4A32FE2C"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lastRenderedPageBreak/>
              <w:t>prob_respiratory_failure_by_bacterial_pneumonia</w:t>
            </w:r>
          </w:p>
        </w:tc>
        <w:tc>
          <w:tcPr>
            <w:tcW w:w="3402" w:type="dxa"/>
            <w:tcBorders>
              <w:top w:val="nil"/>
              <w:left w:val="nil"/>
              <w:bottom w:val="single" w:sz="4" w:space="0" w:color="auto"/>
              <w:right w:val="single" w:sz="4" w:space="0" w:color="auto"/>
            </w:tcBorders>
            <w:shd w:val="clear" w:color="auto" w:fill="auto"/>
            <w:hideMark/>
          </w:tcPr>
          <w:p w14:paraId="214DCA08"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respiratory failure in bacterial pneumonia</w:t>
            </w:r>
          </w:p>
        </w:tc>
        <w:tc>
          <w:tcPr>
            <w:tcW w:w="992" w:type="dxa"/>
            <w:tcBorders>
              <w:top w:val="nil"/>
              <w:left w:val="nil"/>
              <w:bottom w:val="single" w:sz="4" w:space="0" w:color="auto"/>
              <w:right w:val="single" w:sz="4" w:space="0" w:color="auto"/>
            </w:tcBorders>
            <w:shd w:val="clear" w:color="auto" w:fill="auto"/>
            <w:hideMark/>
          </w:tcPr>
          <w:p w14:paraId="404C6BE6"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0.095</w:t>
            </w:r>
          </w:p>
        </w:tc>
        <w:tc>
          <w:tcPr>
            <w:tcW w:w="3355" w:type="dxa"/>
            <w:tcBorders>
              <w:top w:val="nil"/>
              <w:left w:val="nil"/>
              <w:bottom w:val="single" w:sz="4" w:space="0" w:color="auto"/>
              <w:right w:val="single" w:sz="4" w:space="0" w:color="auto"/>
            </w:tcBorders>
            <w:shd w:val="clear" w:color="auto" w:fill="auto"/>
            <w:hideMark/>
          </w:tcPr>
          <w:p w14:paraId="4ED42BF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088E9FFE" w14:textId="77777777" w:rsidTr="000979B2">
        <w:trPr>
          <w:trHeight w:val="490"/>
        </w:trPr>
        <w:tc>
          <w:tcPr>
            <w:tcW w:w="2542" w:type="dxa"/>
            <w:tcBorders>
              <w:top w:val="nil"/>
              <w:left w:val="single" w:sz="4" w:space="0" w:color="auto"/>
              <w:bottom w:val="single" w:sz="4" w:space="0" w:color="auto"/>
              <w:right w:val="single" w:sz="4" w:space="0" w:color="auto"/>
            </w:tcBorders>
            <w:shd w:val="clear" w:color="auto" w:fill="auto"/>
            <w:hideMark/>
          </w:tcPr>
          <w:p w14:paraId="0C49B5A1"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prob_respiratory_failure_by_bronchiolitis</w:t>
            </w:r>
          </w:p>
        </w:tc>
        <w:tc>
          <w:tcPr>
            <w:tcW w:w="3402" w:type="dxa"/>
            <w:tcBorders>
              <w:top w:val="nil"/>
              <w:left w:val="nil"/>
              <w:bottom w:val="single" w:sz="4" w:space="0" w:color="auto"/>
              <w:right w:val="single" w:sz="4" w:space="0" w:color="auto"/>
            </w:tcBorders>
            <w:shd w:val="clear" w:color="auto" w:fill="auto"/>
            <w:hideMark/>
          </w:tcPr>
          <w:p w14:paraId="02C9999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respiratory failure in bronchiolitis</w:t>
            </w:r>
          </w:p>
        </w:tc>
        <w:tc>
          <w:tcPr>
            <w:tcW w:w="992" w:type="dxa"/>
            <w:tcBorders>
              <w:top w:val="nil"/>
              <w:left w:val="nil"/>
              <w:bottom w:val="single" w:sz="4" w:space="0" w:color="auto"/>
              <w:right w:val="single" w:sz="4" w:space="0" w:color="auto"/>
            </w:tcBorders>
            <w:shd w:val="clear" w:color="auto" w:fill="auto"/>
            <w:hideMark/>
          </w:tcPr>
          <w:p w14:paraId="0B16D163"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0.095</w:t>
            </w:r>
          </w:p>
        </w:tc>
        <w:tc>
          <w:tcPr>
            <w:tcW w:w="3355" w:type="dxa"/>
            <w:tcBorders>
              <w:top w:val="nil"/>
              <w:left w:val="nil"/>
              <w:bottom w:val="single" w:sz="4" w:space="0" w:color="auto"/>
              <w:right w:val="single" w:sz="4" w:space="0" w:color="auto"/>
            </w:tcBorders>
            <w:shd w:val="clear" w:color="auto" w:fill="auto"/>
            <w:hideMark/>
          </w:tcPr>
          <w:p w14:paraId="056B830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5E1B8F6F"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629C928A"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prob_respiratory_failure_to_multiorgan_dysfunction</w:t>
            </w:r>
          </w:p>
        </w:tc>
        <w:tc>
          <w:tcPr>
            <w:tcW w:w="3402" w:type="dxa"/>
            <w:tcBorders>
              <w:top w:val="nil"/>
              <w:left w:val="nil"/>
              <w:bottom w:val="single" w:sz="4" w:space="0" w:color="auto"/>
              <w:right w:val="single" w:sz="4" w:space="0" w:color="auto"/>
            </w:tcBorders>
            <w:shd w:val="clear" w:color="auto" w:fill="auto"/>
            <w:hideMark/>
          </w:tcPr>
          <w:p w14:paraId="2BAEA512"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respiratory failure leading to multi-organ dysfunction</w:t>
            </w:r>
          </w:p>
        </w:tc>
        <w:tc>
          <w:tcPr>
            <w:tcW w:w="992" w:type="dxa"/>
            <w:tcBorders>
              <w:top w:val="nil"/>
              <w:left w:val="nil"/>
              <w:bottom w:val="single" w:sz="4" w:space="0" w:color="auto"/>
              <w:right w:val="single" w:sz="4" w:space="0" w:color="auto"/>
            </w:tcBorders>
            <w:shd w:val="clear" w:color="auto" w:fill="auto"/>
            <w:hideMark/>
          </w:tcPr>
          <w:p w14:paraId="65FF7223"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0.5</w:t>
            </w:r>
          </w:p>
        </w:tc>
        <w:tc>
          <w:tcPr>
            <w:tcW w:w="3355" w:type="dxa"/>
            <w:tcBorders>
              <w:top w:val="nil"/>
              <w:left w:val="nil"/>
              <w:bottom w:val="single" w:sz="4" w:space="0" w:color="auto"/>
              <w:right w:val="single" w:sz="4" w:space="0" w:color="auto"/>
            </w:tcBorders>
            <w:shd w:val="clear" w:color="auto" w:fill="auto"/>
            <w:hideMark/>
          </w:tcPr>
          <w:p w14:paraId="13CA975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4DE712E6" w14:textId="77777777" w:rsidTr="000979B2">
        <w:trPr>
          <w:trHeight w:val="310"/>
        </w:trPr>
        <w:tc>
          <w:tcPr>
            <w:tcW w:w="2542" w:type="dxa"/>
            <w:tcBorders>
              <w:top w:val="nil"/>
              <w:left w:val="single" w:sz="4" w:space="0" w:color="auto"/>
              <w:bottom w:val="single" w:sz="4" w:space="0" w:color="auto"/>
              <w:right w:val="single" w:sz="4" w:space="0" w:color="auto"/>
            </w:tcBorders>
            <w:shd w:val="clear" w:color="auto" w:fill="auto"/>
            <w:hideMark/>
          </w:tcPr>
          <w:p w14:paraId="625A7814"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prob_sepsis_by_viral_pneumonia</w:t>
            </w:r>
          </w:p>
        </w:tc>
        <w:tc>
          <w:tcPr>
            <w:tcW w:w="3402" w:type="dxa"/>
            <w:tcBorders>
              <w:top w:val="nil"/>
              <w:left w:val="nil"/>
              <w:bottom w:val="single" w:sz="4" w:space="0" w:color="auto"/>
              <w:right w:val="single" w:sz="4" w:space="0" w:color="auto"/>
            </w:tcBorders>
            <w:shd w:val="clear" w:color="auto" w:fill="auto"/>
            <w:hideMark/>
          </w:tcPr>
          <w:p w14:paraId="43BD808A"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sepsis in viral pneumonia</w:t>
            </w:r>
          </w:p>
        </w:tc>
        <w:tc>
          <w:tcPr>
            <w:tcW w:w="992" w:type="dxa"/>
            <w:tcBorders>
              <w:top w:val="nil"/>
              <w:left w:val="nil"/>
              <w:bottom w:val="single" w:sz="4" w:space="0" w:color="auto"/>
              <w:right w:val="single" w:sz="4" w:space="0" w:color="auto"/>
            </w:tcBorders>
            <w:shd w:val="clear" w:color="auto" w:fill="auto"/>
            <w:hideMark/>
          </w:tcPr>
          <w:p w14:paraId="57F90FD7"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0.095</w:t>
            </w:r>
          </w:p>
        </w:tc>
        <w:tc>
          <w:tcPr>
            <w:tcW w:w="3355" w:type="dxa"/>
            <w:tcBorders>
              <w:top w:val="nil"/>
              <w:left w:val="nil"/>
              <w:bottom w:val="single" w:sz="4" w:space="0" w:color="auto"/>
              <w:right w:val="single" w:sz="4" w:space="0" w:color="auto"/>
            </w:tcBorders>
            <w:shd w:val="clear" w:color="auto" w:fill="auto"/>
            <w:hideMark/>
          </w:tcPr>
          <w:p w14:paraId="08E17F8E"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11C198C3"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34CCD0C1"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prob_sepsis_by_bacterial_pneumonia</w:t>
            </w:r>
          </w:p>
        </w:tc>
        <w:tc>
          <w:tcPr>
            <w:tcW w:w="3402" w:type="dxa"/>
            <w:tcBorders>
              <w:top w:val="nil"/>
              <w:left w:val="nil"/>
              <w:bottom w:val="single" w:sz="4" w:space="0" w:color="auto"/>
              <w:right w:val="single" w:sz="4" w:space="0" w:color="auto"/>
            </w:tcBorders>
            <w:shd w:val="clear" w:color="auto" w:fill="auto"/>
            <w:hideMark/>
          </w:tcPr>
          <w:p w14:paraId="307155BB"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sepsis in bacterial pneumonia</w:t>
            </w:r>
          </w:p>
        </w:tc>
        <w:tc>
          <w:tcPr>
            <w:tcW w:w="992" w:type="dxa"/>
            <w:tcBorders>
              <w:top w:val="nil"/>
              <w:left w:val="nil"/>
              <w:bottom w:val="single" w:sz="4" w:space="0" w:color="auto"/>
              <w:right w:val="single" w:sz="4" w:space="0" w:color="auto"/>
            </w:tcBorders>
            <w:shd w:val="clear" w:color="auto" w:fill="auto"/>
            <w:hideMark/>
          </w:tcPr>
          <w:p w14:paraId="06F2A3B4"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0.095</w:t>
            </w:r>
          </w:p>
        </w:tc>
        <w:tc>
          <w:tcPr>
            <w:tcW w:w="3355" w:type="dxa"/>
            <w:tcBorders>
              <w:top w:val="nil"/>
              <w:left w:val="nil"/>
              <w:bottom w:val="single" w:sz="4" w:space="0" w:color="auto"/>
              <w:right w:val="single" w:sz="4" w:space="0" w:color="auto"/>
            </w:tcBorders>
            <w:shd w:val="clear" w:color="auto" w:fill="auto"/>
            <w:hideMark/>
          </w:tcPr>
          <w:p w14:paraId="257EEFC8"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2A9AC13A"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4B0E20CB"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prob_sepsis_to_multiorgan_dysfunction</w:t>
            </w:r>
          </w:p>
        </w:tc>
        <w:tc>
          <w:tcPr>
            <w:tcW w:w="3402" w:type="dxa"/>
            <w:tcBorders>
              <w:top w:val="nil"/>
              <w:left w:val="nil"/>
              <w:bottom w:val="single" w:sz="4" w:space="0" w:color="auto"/>
              <w:right w:val="single" w:sz="4" w:space="0" w:color="auto"/>
            </w:tcBorders>
            <w:shd w:val="clear" w:color="auto" w:fill="auto"/>
            <w:hideMark/>
          </w:tcPr>
          <w:p w14:paraId="780CEF2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sepsis leading to multi-organ dysfunction</w:t>
            </w:r>
          </w:p>
        </w:tc>
        <w:tc>
          <w:tcPr>
            <w:tcW w:w="992" w:type="dxa"/>
            <w:tcBorders>
              <w:top w:val="nil"/>
              <w:left w:val="nil"/>
              <w:bottom w:val="single" w:sz="4" w:space="0" w:color="auto"/>
              <w:right w:val="single" w:sz="4" w:space="0" w:color="auto"/>
            </w:tcBorders>
            <w:shd w:val="clear" w:color="auto" w:fill="auto"/>
            <w:hideMark/>
          </w:tcPr>
          <w:p w14:paraId="23406C9D"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0.5</w:t>
            </w:r>
          </w:p>
        </w:tc>
        <w:tc>
          <w:tcPr>
            <w:tcW w:w="3355" w:type="dxa"/>
            <w:tcBorders>
              <w:top w:val="nil"/>
              <w:left w:val="nil"/>
              <w:bottom w:val="single" w:sz="4" w:space="0" w:color="auto"/>
              <w:right w:val="single" w:sz="4" w:space="0" w:color="auto"/>
            </w:tcBorders>
            <w:shd w:val="clear" w:color="auto" w:fill="auto"/>
            <w:hideMark/>
          </w:tcPr>
          <w:p w14:paraId="79937FC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7CE1CCED"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0DF39B53"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prob_meningitis_by_bacterial_pneumonia</w:t>
            </w:r>
          </w:p>
        </w:tc>
        <w:tc>
          <w:tcPr>
            <w:tcW w:w="3402" w:type="dxa"/>
            <w:tcBorders>
              <w:top w:val="nil"/>
              <w:left w:val="nil"/>
              <w:bottom w:val="single" w:sz="4" w:space="0" w:color="auto"/>
              <w:right w:val="single" w:sz="4" w:space="0" w:color="auto"/>
            </w:tcBorders>
            <w:shd w:val="clear" w:color="auto" w:fill="auto"/>
            <w:hideMark/>
          </w:tcPr>
          <w:p w14:paraId="559A7D0B"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meni</w:t>
            </w:r>
            <w:r>
              <w:rPr>
                <w:rFonts w:eastAsia="Times New Roman" w:cs="Arial"/>
                <w:color w:val="000000"/>
                <w:sz w:val="20"/>
                <w:szCs w:val="20"/>
                <w:lang w:eastAsia="en-GB"/>
              </w:rPr>
              <w:t>n</w:t>
            </w:r>
            <w:r w:rsidRPr="002515AD">
              <w:rPr>
                <w:rFonts w:eastAsia="Times New Roman" w:cs="Arial"/>
                <w:color w:val="000000"/>
                <w:sz w:val="20"/>
                <w:szCs w:val="20"/>
                <w:lang w:eastAsia="en-GB"/>
              </w:rPr>
              <w:t>gitis in bacterial pneumonia</w:t>
            </w:r>
          </w:p>
        </w:tc>
        <w:tc>
          <w:tcPr>
            <w:tcW w:w="992" w:type="dxa"/>
            <w:tcBorders>
              <w:top w:val="nil"/>
              <w:left w:val="nil"/>
              <w:bottom w:val="single" w:sz="4" w:space="0" w:color="auto"/>
              <w:right w:val="single" w:sz="4" w:space="0" w:color="auto"/>
            </w:tcBorders>
            <w:shd w:val="clear" w:color="auto" w:fill="auto"/>
            <w:hideMark/>
          </w:tcPr>
          <w:p w14:paraId="22BBEA30"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0.095</w:t>
            </w:r>
          </w:p>
        </w:tc>
        <w:tc>
          <w:tcPr>
            <w:tcW w:w="3355" w:type="dxa"/>
            <w:tcBorders>
              <w:top w:val="nil"/>
              <w:left w:val="nil"/>
              <w:bottom w:val="single" w:sz="4" w:space="0" w:color="auto"/>
              <w:right w:val="single" w:sz="4" w:space="0" w:color="auto"/>
            </w:tcBorders>
            <w:shd w:val="clear" w:color="auto" w:fill="auto"/>
            <w:hideMark/>
          </w:tcPr>
          <w:p w14:paraId="1E13E917"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1D2D83E0"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7D7F9B6D"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prob_pleural_effusion_by_bacterial_pneumonia</w:t>
            </w:r>
          </w:p>
        </w:tc>
        <w:tc>
          <w:tcPr>
            <w:tcW w:w="3402" w:type="dxa"/>
            <w:tcBorders>
              <w:top w:val="nil"/>
              <w:left w:val="nil"/>
              <w:bottom w:val="single" w:sz="4" w:space="0" w:color="auto"/>
              <w:right w:val="single" w:sz="4" w:space="0" w:color="auto"/>
            </w:tcBorders>
            <w:shd w:val="clear" w:color="auto" w:fill="auto"/>
            <w:hideMark/>
          </w:tcPr>
          <w:p w14:paraId="237AA434"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pleural effusion in bacterial pneumonia</w:t>
            </w:r>
          </w:p>
        </w:tc>
        <w:tc>
          <w:tcPr>
            <w:tcW w:w="992" w:type="dxa"/>
            <w:tcBorders>
              <w:top w:val="nil"/>
              <w:left w:val="nil"/>
              <w:bottom w:val="single" w:sz="4" w:space="0" w:color="auto"/>
              <w:right w:val="single" w:sz="4" w:space="0" w:color="auto"/>
            </w:tcBorders>
            <w:shd w:val="clear" w:color="auto" w:fill="auto"/>
            <w:hideMark/>
          </w:tcPr>
          <w:p w14:paraId="32FA1F41"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0.095</w:t>
            </w:r>
          </w:p>
        </w:tc>
        <w:tc>
          <w:tcPr>
            <w:tcW w:w="3355" w:type="dxa"/>
            <w:tcBorders>
              <w:top w:val="nil"/>
              <w:left w:val="nil"/>
              <w:bottom w:val="single" w:sz="4" w:space="0" w:color="auto"/>
              <w:right w:val="single" w:sz="4" w:space="0" w:color="auto"/>
            </w:tcBorders>
            <w:shd w:val="clear" w:color="auto" w:fill="auto"/>
            <w:hideMark/>
          </w:tcPr>
          <w:p w14:paraId="408DDB94"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4DED49C8"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7628EA4F"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prob_pleural_effusion_by_viral_pneumonia</w:t>
            </w:r>
          </w:p>
        </w:tc>
        <w:tc>
          <w:tcPr>
            <w:tcW w:w="3402" w:type="dxa"/>
            <w:tcBorders>
              <w:top w:val="nil"/>
              <w:left w:val="nil"/>
              <w:bottom w:val="single" w:sz="4" w:space="0" w:color="auto"/>
              <w:right w:val="single" w:sz="4" w:space="0" w:color="auto"/>
            </w:tcBorders>
            <w:shd w:val="clear" w:color="auto" w:fill="auto"/>
            <w:hideMark/>
          </w:tcPr>
          <w:p w14:paraId="1AB1D2E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pleural effusion in viral pneumonia</w:t>
            </w:r>
          </w:p>
        </w:tc>
        <w:tc>
          <w:tcPr>
            <w:tcW w:w="992" w:type="dxa"/>
            <w:tcBorders>
              <w:top w:val="nil"/>
              <w:left w:val="nil"/>
              <w:bottom w:val="single" w:sz="4" w:space="0" w:color="auto"/>
              <w:right w:val="single" w:sz="4" w:space="0" w:color="auto"/>
            </w:tcBorders>
            <w:shd w:val="clear" w:color="auto" w:fill="auto"/>
            <w:hideMark/>
          </w:tcPr>
          <w:p w14:paraId="32F4F203"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0.095</w:t>
            </w:r>
          </w:p>
        </w:tc>
        <w:tc>
          <w:tcPr>
            <w:tcW w:w="3355" w:type="dxa"/>
            <w:tcBorders>
              <w:top w:val="nil"/>
              <w:left w:val="nil"/>
              <w:bottom w:val="single" w:sz="4" w:space="0" w:color="auto"/>
              <w:right w:val="single" w:sz="4" w:space="0" w:color="auto"/>
            </w:tcBorders>
            <w:shd w:val="clear" w:color="auto" w:fill="auto"/>
            <w:hideMark/>
          </w:tcPr>
          <w:p w14:paraId="79F52DD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5CDECA2A"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2334570C"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prob_pleural_effusion_by_bronchiolitis</w:t>
            </w:r>
          </w:p>
        </w:tc>
        <w:tc>
          <w:tcPr>
            <w:tcW w:w="3402" w:type="dxa"/>
            <w:tcBorders>
              <w:top w:val="nil"/>
              <w:left w:val="nil"/>
              <w:bottom w:val="single" w:sz="4" w:space="0" w:color="auto"/>
              <w:right w:val="single" w:sz="4" w:space="0" w:color="auto"/>
            </w:tcBorders>
            <w:shd w:val="clear" w:color="auto" w:fill="auto"/>
            <w:hideMark/>
          </w:tcPr>
          <w:p w14:paraId="29FC3596"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pleural effusion in bronchiolitis</w:t>
            </w:r>
          </w:p>
        </w:tc>
        <w:tc>
          <w:tcPr>
            <w:tcW w:w="992" w:type="dxa"/>
            <w:tcBorders>
              <w:top w:val="nil"/>
              <w:left w:val="nil"/>
              <w:bottom w:val="single" w:sz="4" w:space="0" w:color="auto"/>
              <w:right w:val="single" w:sz="4" w:space="0" w:color="auto"/>
            </w:tcBorders>
            <w:shd w:val="clear" w:color="auto" w:fill="auto"/>
            <w:hideMark/>
          </w:tcPr>
          <w:p w14:paraId="4BA0873F"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0.095</w:t>
            </w:r>
          </w:p>
        </w:tc>
        <w:tc>
          <w:tcPr>
            <w:tcW w:w="3355" w:type="dxa"/>
            <w:tcBorders>
              <w:top w:val="nil"/>
              <w:left w:val="nil"/>
              <w:bottom w:val="single" w:sz="4" w:space="0" w:color="auto"/>
              <w:right w:val="single" w:sz="4" w:space="0" w:color="auto"/>
            </w:tcBorders>
            <w:shd w:val="clear" w:color="auto" w:fill="auto"/>
            <w:hideMark/>
          </w:tcPr>
          <w:p w14:paraId="687147D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442EAAD6"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69FEA823"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prob_pleural_effusion_to_empyema</w:t>
            </w:r>
          </w:p>
        </w:tc>
        <w:tc>
          <w:tcPr>
            <w:tcW w:w="3402" w:type="dxa"/>
            <w:tcBorders>
              <w:top w:val="nil"/>
              <w:left w:val="nil"/>
              <w:bottom w:val="single" w:sz="4" w:space="0" w:color="auto"/>
              <w:right w:val="single" w:sz="4" w:space="0" w:color="auto"/>
            </w:tcBorders>
            <w:shd w:val="clear" w:color="auto" w:fill="auto"/>
            <w:hideMark/>
          </w:tcPr>
          <w:p w14:paraId="698542B8"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pleural effusion developing into empyema (for bacterial causes only)</w:t>
            </w:r>
          </w:p>
        </w:tc>
        <w:tc>
          <w:tcPr>
            <w:tcW w:w="992" w:type="dxa"/>
            <w:tcBorders>
              <w:top w:val="nil"/>
              <w:left w:val="nil"/>
              <w:bottom w:val="single" w:sz="4" w:space="0" w:color="auto"/>
              <w:right w:val="single" w:sz="4" w:space="0" w:color="auto"/>
            </w:tcBorders>
            <w:shd w:val="clear" w:color="auto" w:fill="auto"/>
            <w:hideMark/>
          </w:tcPr>
          <w:p w14:paraId="385D7E49"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0.5</w:t>
            </w:r>
          </w:p>
        </w:tc>
        <w:tc>
          <w:tcPr>
            <w:tcW w:w="3355" w:type="dxa"/>
            <w:tcBorders>
              <w:top w:val="nil"/>
              <w:left w:val="nil"/>
              <w:bottom w:val="single" w:sz="4" w:space="0" w:color="auto"/>
              <w:right w:val="single" w:sz="4" w:space="0" w:color="auto"/>
            </w:tcBorders>
            <w:shd w:val="clear" w:color="auto" w:fill="auto"/>
            <w:hideMark/>
          </w:tcPr>
          <w:p w14:paraId="75C29081"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0716417D" w14:textId="77777777" w:rsidTr="000979B2">
        <w:trPr>
          <w:trHeight w:val="310"/>
        </w:trPr>
        <w:tc>
          <w:tcPr>
            <w:tcW w:w="2542" w:type="dxa"/>
            <w:tcBorders>
              <w:top w:val="nil"/>
              <w:left w:val="single" w:sz="4" w:space="0" w:color="auto"/>
              <w:bottom w:val="single" w:sz="4" w:space="0" w:color="auto"/>
              <w:right w:val="single" w:sz="4" w:space="0" w:color="auto"/>
            </w:tcBorders>
            <w:shd w:val="clear" w:color="auto" w:fill="auto"/>
            <w:hideMark/>
          </w:tcPr>
          <w:p w14:paraId="4D5CA4E4"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prob_empyema_to_sepsis</w:t>
            </w:r>
          </w:p>
        </w:tc>
        <w:tc>
          <w:tcPr>
            <w:tcW w:w="3402" w:type="dxa"/>
            <w:tcBorders>
              <w:top w:val="nil"/>
              <w:left w:val="nil"/>
              <w:bottom w:val="single" w:sz="4" w:space="0" w:color="auto"/>
              <w:right w:val="single" w:sz="4" w:space="0" w:color="auto"/>
            </w:tcBorders>
            <w:shd w:val="clear" w:color="auto" w:fill="auto"/>
            <w:hideMark/>
          </w:tcPr>
          <w:p w14:paraId="762E8DC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empyema leading to sepsis</w:t>
            </w:r>
          </w:p>
        </w:tc>
        <w:tc>
          <w:tcPr>
            <w:tcW w:w="992" w:type="dxa"/>
            <w:tcBorders>
              <w:top w:val="nil"/>
              <w:left w:val="nil"/>
              <w:bottom w:val="single" w:sz="4" w:space="0" w:color="auto"/>
              <w:right w:val="single" w:sz="4" w:space="0" w:color="auto"/>
            </w:tcBorders>
            <w:shd w:val="clear" w:color="auto" w:fill="auto"/>
            <w:hideMark/>
          </w:tcPr>
          <w:p w14:paraId="7302DC8B"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0.5</w:t>
            </w:r>
          </w:p>
        </w:tc>
        <w:tc>
          <w:tcPr>
            <w:tcW w:w="3355" w:type="dxa"/>
            <w:tcBorders>
              <w:top w:val="nil"/>
              <w:left w:val="nil"/>
              <w:bottom w:val="single" w:sz="4" w:space="0" w:color="auto"/>
              <w:right w:val="single" w:sz="4" w:space="0" w:color="auto"/>
            </w:tcBorders>
            <w:shd w:val="clear" w:color="auto" w:fill="auto"/>
            <w:hideMark/>
          </w:tcPr>
          <w:p w14:paraId="4FD3B01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3FBF5462"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7BDB0C8F"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prob_lung_abscess_by_bacterial_pneumonia</w:t>
            </w:r>
          </w:p>
        </w:tc>
        <w:tc>
          <w:tcPr>
            <w:tcW w:w="3402" w:type="dxa"/>
            <w:tcBorders>
              <w:top w:val="nil"/>
              <w:left w:val="nil"/>
              <w:bottom w:val="single" w:sz="4" w:space="0" w:color="auto"/>
              <w:right w:val="single" w:sz="4" w:space="0" w:color="auto"/>
            </w:tcBorders>
            <w:shd w:val="clear" w:color="auto" w:fill="auto"/>
            <w:hideMark/>
          </w:tcPr>
          <w:p w14:paraId="1D7DB3FA"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lung abscess in bacterial pneumonia</w:t>
            </w:r>
          </w:p>
        </w:tc>
        <w:tc>
          <w:tcPr>
            <w:tcW w:w="992" w:type="dxa"/>
            <w:tcBorders>
              <w:top w:val="nil"/>
              <w:left w:val="nil"/>
              <w:bottom w:val="single" w:sz="4" w:space="0" w:color="auto"/>
              <w:right w:val="single" w:sz="4" w:space="0" w:color="auto"/>
            </w:tcBorders>
            <w:shd w:val="clear" w:color="auto" w:fill="auto"/>
            <w:hideMark/>
          </w:tcPr>
          <w:p w14:paraId="7A6E3231"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0.095</w:t>
            </w:r>
          </w:p>
        </w:tc>
        <w:tc>
          <w:tcPr>
            <w:tcW w:w="3355" w:type="dxa"/>
            <w:tcBorders>
              <w:top w:val="nil"/>
              <w:left w:val="nil"/>
              <w:bottom w:val="single" w:sz="4" w:space="0" w:color="auto"/>
              <w:right w:val="single" w:sz="4" w:space="0" w:color="auto"/>
            </w:tcBorders>
            <w:shd w:val="clear" w:color="auto" w:fill="auto"/>
            <w:hideMark/>
          </w:tcPr>
          <w:p w14:paraId="708880BA"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545A24E6"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2A151456"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prob_lung_abscess_to_sepsis</w:t>
            </w:r>
          </w:p>
        </w:tc>
        <w:tc>
          <w:tcPr>
            <w:tcW w:w="3402" w:type="dxa"/>
            <w:tcBorders>
              <w:top w:val="nil"/>
              <w:left w:val="nil"/>
              <w:bottom w:val="single" w:sz="4" w:space="0" w:color="auto"/>
              <w:right w:val="single" w:sz="4" w:space="0" w:color="auto"/>
            </w:tcBorders>
            <w:shd w:val="clear" w:color="auto" w:fill="auto"/>
            <w:hideMark/>
          </w:tcPr>
          <w:p w14:paraId="05B9EDD4"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lung abscess leading to sepsis</w:t>
            </w:r>
          </w:p>
        </w:tc>
        <w:tc>
          <w:tcPr>
            <w:tcW w:w="992" w:type="dxa"/>
            <w:tcBorders>
              <w:top w:val="nil"/>
              <w:left w:val="nil"/>
              <w:bottom w:val="single" w:sz="4" w:space="0" w:color="auto"/>
              <w:right w:val="single" w:sz="4" w:space="0" w:color="auto"/>
            </w:tcBorders>
            <w:shd w:val="clear" w:color="auto" w:fill="auto"/>
            <w:hideMark/>
          </w:tcPr>
          <w:p w14:paraId="48E5958A"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0.5</w:t>
            </w:r>
          </w:p>
        </w:tc>
        <w:tc>
          <w:tcPr>
            <w:tcW w:w="3355" w:type="dxa"/>
            <w:tcBorders>
              <w:top w:val="nil"/>
              <w:left w:val="nil"/>
              <w:bottom w:val="single" w:sz="4" w:space="0" w:color="auto"/>
              <w:right w:val="single" w:sz="4" w:space="0" w:color="auto"/>
            </w:tcBorders>
            <w:shd w:val="clear" w:color="auto" w:fill="auto"/>
            <w:hideMark/>
          </w:tcPr>
          <w:p w14:paraId="2AA69977"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6EF97896"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21466E03"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prob_pneumothorax_by_bacterial_pneumonia</w:t>
            </w:r>
          </w:p>
        </w:tc>
        <w:tc>
          <w:tcPr>
            <w:tcW w:w="3402" w:type="dxa"/>
            <w:tcBorders>
              <w:top w:val="nil"/>
              <w:left w:val="nil"/>
              <w:bottom w:val="single" w:sz="4" w:space="0" w:color="auto"/>
              <w:right w:val="single" w:sz="4" w:space="0" w:color="auto"/>
            </w:tcBorders>
            <w:shd w:val="clear" w:color="auto" w:fill="auto"/>
            <w:hideMark/>
          </w:tcPr>
          <w:p w14:paraId="25F7367E"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pneumothorax in bacterial pneumonia</w:t>
            </w:r>
          </w:p>
        </w:tc>
        <w:tc>
          <w:tcPr>
            <w:tcW w:w="992" w:type="dxa"/>
            <w:tcBorders>
              <w:top w:val="nil"/>
              <w:left w:val="nil"/>
              <w:bottom w:val="single" w:sz="4" w:space="0" w:color="auto"/>
              <w:right w:val="single" w:sz="4" w:space="0" w:color="auto"/>
            </w:tcBorders>
            <w:shd w:val="clear" w:color="auto" w:fill="auto"/>
            <w:hideMark/>
          </w:tcPr>
          <w:p w14:paraId="17F24B9B"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0.095</w:t>
            </w:r>
          </w:p>
        </w:tc>
        <w:tc>
          <w:tcPr>
            <w:tcW w:w="3355" w:type="dxa"/>
            <w:tcBorders>
              <w:top w:val="nil"/>
              <w:left w:val="nil"/>
              <w:bottom w:val="single" w:sz="4" w:space="0" w:color="auto"/>
              <w:right w:val="single" w:sz="4" w:space="0" w:color="auto"/>
            </w:tcBorders>
            <w:shd w:val="clear" w:color="auto" w:fill="auto"/>
            <w:hideMark/>
          </w:tcPr>
          <w:p w14:paraId="454B25E4"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2B1863C2"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73940DBF"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prob_pneumothorax_by_viral_pneumonia</w:t>
            </w:r>
          </w:p>
        </w:tc>
        <w:tc>
          <w:tcPr>
            <w:tcW w:w="3402" w:type="dxa"/>
            <w:tcBorders>
              <w:top w:val="nil"/>
              <w:left w:val="nil"/>
              <w:bottom w:val="single" w:sz="4" w:space="0" w:color="auto"/>
              <w:right w:val="single" w:sz="4" w:space="0" w:color="auto"/>
            </w:tcBorders>
            <w:shd w:val="clear" w:color="auto" w:fill="auto"/>
            <w:hideMark/>
          </w:tcPr>
          <w:p w14:paraId="11E050F3"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pneumothorax in viral pneumonia</w:t>
            </w:r>
          </w:p>
        </w:tc>
        <w:tc>
          <w:tcPr>
            <w:tcW w:w="992" w:type="dxa"/>
            <w:tcBorders>
              <w:top w:val="nil"/>
              <w:left w:val="nil"/>
              <w:bottom w:val="single" w:sz="4" w:space="0" w:color="auto"/>
              <w:right w:val="single" w:sz="4" w:space="0" w:color="auto"/>
            </w:tcBorders>
            <w:shd w:val="clear" w:color="auto" w:fill="auto"/>
            <w:hideMark/>
          </w:tcPr>
          <w:p w14:paraId="658E37CB"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0.095</w:t>
            </w:r>
          </w:p>
        </w:tc>
        <w:tc>
          <w:tcPr>
            <w:tcW w:w="3355" w:type="dxa"/>
            <w:tcBorders>
              <w:top w:val="nil"/>
              <w:left w:val="nil"/>
              <w:bottom w:val="single" w:sz="4" w:space="0" w:color="auto"/>
              <w:right w:val="single" w:sz="4" w:space="0" w:color="auto"/>
            </w:tcBorders>
            <w:shd w:val="clear" w:color="auto" w:fill="auto"/>
            <w:hideMark/>
          </w:tcPr>
          <w:p w14:paraId="1BFF4575"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226D00F0"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61B7E38A"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prob_atelectasis_by_bronchiolitis</w:t>
            </w:r>
          </w:p>
        </w:tc>
        <w:tc>
          <w:tcPr>
            <w:tcW w:w="3402" w:type="dxa"/>
            <w:tcBorders>
              <w:top w:val="nil"/>
              <w:left w:val="nil"/>
              <w:bottom w:val="single" w:sz="4" w:space="0" w:color="auto"/>
              <w:right w:val="single" w:sz="4" w:space="0" w:color="auto"/>
            </w:tcBorders>
            <w:shd w:val="clear" w:color="auto" w:fill="auto"/>
            <w:hideMark/>
          </w:tcPr>
          <w:p w14:paraId="66A10BB5"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atelectasis in brochiolitis</w:t>
            </w:r>
          </w:p>
        </w:tc>
        <w:tc>
          <w:tcPr>
            <w:tcW w:w="992" w:type="dxa"/>
            <w:tcBorders>
              <w:top w:val="nil"/>
              <w:left w:val="nil"/>
              <w:bottom w:val="single" w:sz="4" w:space="0" w:color="auto"/>
              <w:right w:val="single" w:sz="4" w:space="0" w:color="auto"/>
            </w:tcBorders>
            <w:shd w:val="clear" w:color="auto" w:fill="auto"/>
            <w:hideMark/>
          </w:tcPr>
          <w:p w14:paraId="4B4B1225"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0.095</w:t>
            </w:r>
          </w:p>
        </w:tc>
        <w:tc>
          <w:tcPr>
            <w:tcW w:w="3355" w:type="dxa"/>
            <w:tcBorders>
              <w:top w:val="nil"/>
              <w:left w:val="nil"/>
              <w:bottom w:val="single" w:sz="4" w:space="0" w:color="auto"/>
              <w:right w:val="single" w:sz="4" w:space="0" w:color="auto"/>
            </w:tcBorders>
            <w:shd w:val="clear" w:color="auto" w:fill="auto"/>
            <w:hideMark/>
          </w:tcPr>
          <w:p w14:paraId="1A03E4CB"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49AED0A7" w14:textId="77777777" w:rsidTr="000979B2">
        <w:trPr>
          <w:trHeight w:val="550"/>
        </w:trPr>
        <w:tc>
          <w:tcPr>
            <w:tcW w:w="2542" w:type="dxa"/>
            <w:tcBorders>
              <w:top w:val="nil"/>
              <w:left w:val="single" w:sz="4" w:space="0" w:color="auto"/>
              <w:bottom w:val="single" w:sz="4" w:space="0" w:color="auto"/>
              <w:right w:val="single" w:sz="4" w:space="0" w:color="auto"/>
            </w:tcBorders>
            <w:shd w:val="clear" w:color="auto" w:fill="auto"/>
            <w:hideMark/>
          </w:tcPr>
          <w:p w14:paraId="4AC9ABB6"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prob_pneumothorax_to_respiratory_failure</w:t>
            </w:r>
          </w:p>
        </w:tc>
        <w:tc>
          <w:tcPr>
            <w:tcW w:w="3402" w:type="dxa"/>
            <w:tcBorders>
              <w:top w:val="nil"/>
              <w:left w:val="nil"/>
              <w:bottom w:val="single" w:sz="4" w:space="0" w:color="auto"/>
              <w:right w:val="single" w:sz="4" w:space="0" w:color="auto"/>
            </w:tcBorders>
            <w:shd w:val="clear" w:color="auto" w:fill="auto"/>
            <w:hideMark/>
          </w:tcPr>
          <w:p w14:paraId="35CD4B9F"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pneumothorax leading to respiratory failure</w:t>
            </w:r>
          </w:p>
        </w:tc>
        <w:tc>
          <w:tcPr>
            <w:tcW w:w="992" w:type="dxa"/>
            <w:tcBorders>
              <w:top w:val="nil"/>
              <w:left w:val="nil"/>
              <w:bottom w:val="single" w:sz="4" w:space="0" w:color="auto"/>
              <w:right w:val="single" w:sz="4" w:space="0" w:color="auto"/>
            </w:tcBorders>
            <w:shd w:val="clear" w:color="auto" w:fill="auto"/>
            <w:hideMark/>
          </w:tcPr>
          <w:p w14:paraId="1FDAD8D2"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0.095</w:t>
            </w:r>
          </w:p>
        </w:tc>
        <w:tc>
          <w:tcPr>
            <w:tcW w:w="3355" w:type="dxa"/>
            <w:tcBorders>
              <w:top w:val="nil"/>
              <w:left w:val="nil"/>
              <w:bottom w:val="single" w:sz="4" w:space="0" w:color="auto"/>
              <w:right w:val="single" w:sz="4" w:space="0" w:color="auto"/>
            </w:tcBorders>
            <w:shd w:val="clear" w:color="auto" w:fill="auto"/>
            <w:hideMark/>
          </w:tcPr>
          <w:p w14:paraId="29BCC3C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14BEC858" w14:textId="77777777" w:rsidTr="000979B2">
        <w:trPr>
          <w:trHeight w:val="450"/>
        </w:trPr>
        <w:tc>
          <w:tcPr>
            <w:tcW w:w="2542" w:type="dxa"/>
            <w:tcBorders>
              <w:top w:val="nil"/>
              <w:left w:val="single" w:sz="4" w:space="0" w:color="auto"/>
              <w:bottom w:val="single" w:sz="4" w:space="0" w:color="auto"/>
              <w:right w:val="single" w:sz="4" w:space="0" w:color="auto"/>
            </w:tcBorders>
            <w:shd w:val="clear" w:color="auto" w:fill="auto"/>
            <w:hideMark/>
          </w:tcPr>
          <w:p w14:paraId="52877514"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r_death_from_ALRI</w:t>
            </w:r>
          </w:p>
        </w:tc>
        <w:tc>
          <w:tcPr>
            <w:tcW w:w="3402" w:type="dxa"/>
            <w:tcBorders>
              <w:top w:val="nil"/>
              <w:left w:val="nil"/>
              <w:bottom w:val="single" w:sz="4" w:space="0" w:color="auto"/>
              <w:right w:val="single" w:sz="4" w:space="0" w:color="auto"/>
            </w:tcBorders>
            <w:shd w:val="clear" w:color="auto" w:fill="auto"/>
            <w:hideMark/>
          </w:tcPr>
          <w:p w14:paraId="31A35503"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death rate from ALRI - death from severe complication</w:t>
            </w:r>
          </w:p>
        </w:tc>
        <w:tc>
          <w:tcPr>
            <w:tcW w:w="992" w:type="dxa"/>
            <w:tcBorders>
              <w:top w:val="nil"/>
              <w:left w:val="nil"/>
              <w:bottom w:val="single" w:sz="4" w:space="0" w:color="auto"/>
              <w:right w:val="single" w:sz="4" w:space="0" w:color="auto"/>
            </w:tcBorders>
            <w:shd w:val="clear" w:color="auto" w:fill="auto"/>
            <w:hideMark/>
          </w:tcPr>
          <w:p w14:paraId="62011846"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0.186</w:t>
            </w:r>
          </w:p>
        </w:tc>
        <w:tc>
          <w:tcPr>
            <w:tcW w:w="3355" w:type="dxa"/>
            <w:tcBorders>
              <w:top w:val="nil"/>
              <w:left w:val="nil"/>
              <w:bottom w:val="single" w:sz="4" w:space="0" w:color="auto"/>
              <w:right w:val="single" w:sz="4" w:space="0" w:color="auto"/>
            </w:tcBorders>
            <w:shd w:val="clear" w:color="auto" w:fill="auto"/>
            <w:hideMark/>
          </w:tcPr>
          <w:p w14:paraId="5F0D1A82"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761000EE"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761886A5"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rr_death_ALRI_age12to23mo</w:t>
            </w:r>
          </w:p>
        </w:tc>
        <w:tc>
          <w:tcPr>
            <w:tcW w:w="3402" w:type="dxa"/>
            <w:tcBorders>
              <w:top w:val="nil"/>
              <w:left w:val="nil"/>
              <w:bottom w:val="single" w:sz="4" w:space="0" w:color="auto"/>
              <w:right w:val="single" w:sz="4" w:space="0" w:color="auto"/>
            </w:tcBorders>
            <w:shd w:val="clear" w:color="auto" w:fill="auto"/>
            <w:hideMark/>
          </w:tcPr>
          <w:p w14:paraId="25F26E5D"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relative rate of death for ages 12-23 months</w:t>
            </w:r>
          </w:p>
        </w:tc>
        <w:tc>
          <w:tcPr>
            <w:tcW w:w="992" w:type="dxa"/>
            <w:tcBorders>
              <w:top w:val="nil"/>
              <w:left w:val="nil"/>
              <w:bottom w:val="single" w:sz="4" w:space="0" w:color="auto"/>
              <w:right w:val="single" w:sz="4" w:space="0" w:color="auto"/>
            </w:tcBorders>
            <w:shd w:val="clear" w:color="auto" w:fill="auto"/>
            <w:hideMark/>
          </w:tcPr>
          <w:p w14:paraId="6080BA87"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0.7</w:t>
            </w:r>
          </w:p>
        </w:tc>
        <w:tc>
          <w:tcPr>
            <w:tcW w:w="3355" w:type="dxa"/>
            <w:tcBorders>
              <w:top w:val="nil"/>
              <w:left w:val="nil"/>
              <w:bottom w:val="single" w:sz="4" w:space="0" w:color="auto"/>
              <w:right w:val="single" w:sz="4" w:space="0" w:color="auto"/>
            </w:tcBorders>
            <w:shd w:val="clear" w:color="auto" w:fill="auto"/>
            <w:hideMark/>
          </w:tcPr>
          <w:p w14:paraId="4580B797"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7F7856C2"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5F00ABEF"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rr_death_ALRI_age24to59mo</w:t>
            </w:r>
          </w:p>
        </w:tc>
        <w:tc>
          <w:tcPr>
            <w:tcW w:w="3402" w:type="dxa"/>
            <w:tcBorders>
              <w:top w:val="nil"/>
              <w:left w:val="nil"/>
              <w:bottom w:val="single" w:sz="4" w:space="0" w:color="auto"/>
              <w:right w:val="single" w:sz="4" w:space="0" w:color="auto"/>
            </w:tcBorders>
            <w:shd w:val="clear" w:color="auto" w:fill="auto"/>
            <w:hideMark/>
          </w:tcPr>
          <w:p w14:paraId="37D0EB3B"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relative rate of death for ages 24-59 months</w:t>
            </w:r>
          </w:p>
        </w:tc>
        <w:tc>
          <w:tcPr>
            <w:tcW w:w="992" w:type="dxa"/>
            <w:tcBorders>
              <w:top w:val="nil"/>
              <w:left w:val="nil"/>
              <w:bottom w:val="single" w:sz="4" w:space="0" w:color="auto"/>
              <w:right w:val="single" w:sz="4" w:space="0" w:color="auto"/>
            </w:tcBorders>
            <w:shd w:val="clear" w:color="auto" w:fill="auto"/>
            <w:hideMark/>
          </w:tcPr>
          <w:p w14:paraId="64DD167D"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0.5</w:t>
            </w:r>
          </w:p>
        </w:tc>
        <w:tc>
          <w:tcPr>
            <w:tcW w:w="3355" w:type="dxa"/>
            <w:tcBorders>
              <w:top w:val="nil"/>
              <w:left w:val="nil"/>
              <w:bottom w:val="single" w:sz="4" w:space="0" w:color="auto"/>
              <w:right w:val="single" w:sz="4" w:space="0" w:color="auto"/>
            </w:tcBorders>
            <w:shd w:val="clear" w:color="auto" w:fill="auto"/>
            <w:hideMark/>
          </w:tcPr>
          <w:p w14:paraId="10B4B45F"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0A797DF9"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46A53DCC"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rr_death_ALRI_low_birth_weight</w:t>
            </w:r>
          </w:p>
        </w:tc>
        <w:tc>
          <w:tcPr>
            <w:tcW w:w="3402" w:type="dxa"/>
            <w:tcBorders>
              <w:top w:val="nil"/>
              <w:left w:val="nil"/>
              <w:bottom w:val="single" w:sz="4" w:space="0" w:color="auto"/>
              <w:right w:val="single" w:sz="4" w:space="0" w:color="auto"/>
            </w:tcBorders>
            <w:shd w:val="clear" w:color="auto" w:fill="auto"/>
            <w:hideMark/>
          </w:tcPr>
          <w:p w14:paraId="4C40958C"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relative rate of death for infants with low birth weight</w:t>
            </w:r>
          </w:p>
        </w:tc>
        <w:tc>
          <w:tcPr>
            <w:tcW w:w="992" w:type="dxa"/>
            <w:tcBorders>
              <w:top w:val="nil"/>
              <w:left w:val="nil"/>
              <w:bottom w:val="single" w:sz="4" w:space="0" w:color="auto"/>
              <w:right w:val="single" w:sz="4" w:space="0" w:color="auto"/>
            </w:tcBorders>
            <w:shd w:val="clear" w:color="auto" w:fill="auto"/>
            <w:hideMark/>
          </w:tcPr>
          <w:p w14:paraId="64B5FEEA"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1.5</w:t>
            </w:r>
          </w:p>
        </w:tc>
        <w:tc>
          <w:tcPr>
            <w:tcW w:w="3355" w:type="dxa"/>
            <w:tcBorders>
              <w:top w:val="nil"/>
              <w:left w:val="nil"/>
              <w:bottom w:val="single" w:sz="4" w:space="0" w:color="auto"/>
              <w:right w:val="single" w:sz="4" w:space="0" w:color="auto"/>
            </w:tcBorders>
            <w:shd w:val="clear" w:color="auto" w:fill="auto"/>
            <w:hideMark/>
          </w:tcPr>
          <w:p w14:paraId="350135CB"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35447B90" w14:textId="77777777" w:rsidTr="000979B2">
        <w:trPr>
          <w:trHeight w:val="310"/>
        </w:trPr>
        <w:tc>
          <w:tcPr>
            <w:tcW w:w="2542" w:type="dxa"/>
            <w:tcBorders>
              <w:top w:val="nil"/>
              <w:left w:val="single" w:sz="4" w:space="0" w:color="auto"/>
              <w:bottom w:val="single" w:sz="4" w:space="0" w:color="auto"/>
              <w:right w:val="single" w:sz="4" w:space="0" w:color="auto"/>
            </w:tcBorders>
            <w:shd w:val="clear" w:color="auto" w:fill="auto"/>
            <w:hideMark/>
          </w:tcPr>
          <w:p w14:paraId="71E26909"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rr_death_ALRI_HIV</w:t>
            </w:r>
          </w:p>
        </w:tc>
        <w:tc>
          <w:tcPr>
            <w:tcW w:w="3402" w:type="dxa"/>
            <w:tcBorders>
              <w:top w:val="nil"/>
              <w:left w:val="nil"/>
              <w:bottom w:val="single" w:sz="4" w:space="0" w:color="auto"/>
              <w:right w:val="single" w:sz="4" w:space="0" w:color="auto"/>
            </w:tcBorders>
            <w:shd w:val="clear" w:color="auto" w:fill="auto"/>
            <w:hideMark/>
          </w:tcPr>
          <w:p w14:paraId="15E46539"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relative rate of death for HIV untreated</w:t>
            </w:r>
          </w:p>
        </w:tc>
        <w:tc>
          <w:tcPr>
            <w:tcW w:w="992" w:type="dxa"/>
            <w:tcBorders>
              <w:top w:val="nil"/>
              <w:left w:val="nil"/>
              <w:bottom w:val="single" w:sz="4" w:space="0" w:color="auto"/>
              <w:right w:val="single" w:sz="4" w:space="0" w:color="auto"/>
            </w:tcBorders>
            <w:shd w:val="clear" w:color="auto" w:fill="auto"/>
            <w:hideMark/>
          </w:tcPr>
          <w:p w14:paraId="760C055C"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1.5</w:t>
            </w:r>
          </w:p>
        </w:tc>
        <w:tc>
          <w:tcPr>
            <w:tcW w:w="3355" w:type="dxa"/>
            <w:tcBorders>
              <w:top w:val="nil"/>
              <w:left w:val="nil"/>
              <w:bottom w:val="single" w:sz="4" w:space="0" w:color="auto"/>
              <w:right w:val="single" w:sz="4" w:space="0" w:color="auto"/>
            </w:tcBorders>
            <w:shd w:val="clear" w:color="auto" w:fill="auto"/>
            <w:hideMark/>
          </w:tcPr>
          <w:p w14:paraId="46368977"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3126C450"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1F451B48" w14:textId="77777777" w:rsidR="000979B2" w:rsidRPr="002515AD" w:rsidRDefault="000979B2" w:rsidP="000979B2">
            <w:pPr>
              <w:spacing w:after="0" w:line="240" w:lineRule="auto"/>
              <w:ind w:firstLine="0"/>
              <w:contextualSpacing w:val="0"/>
              <w:jc w:val="left"/>
              <w:rPr>
                <w:rFonts w:eastAsia="Times New Roman" w:cs="Arial"/>
                <w:b/>
                <w:sz w:val="20"/>
                <w:szCs w:val="20"/>
                <w:lang w:eastAsia="en-GB"/>
              </w:rPr>
            </w:pPr>
            <w:r w:rsidRPr="002515AD">
              <w:rPr>
                <w:rFonts w:eastAsia="Times New Roman" w:cs="Arial"/>
                <w:b/>
                <w:sz w:val="20"/>
                <w:szCs w:val="20"/>
                <w:lang w:eastAsia="en-GB"/>
              </w:rPr>
              <w:t>rr_death_ALRI_SAM</w:t>
            </w:r>
          </w:p>
        </w:tc>
        <w:tc>
          <w:tcPr>
            <w:tcW w:w="3402" w:type="dxa"/>
            <w:tcBorders>
              <w:top w:val="nil"/>
              <w:left w:val="nil"/>
              <w:bottom w:val="single" w:sz="4" w:space="0" w:color="auto"/>
              <w:right w:val="single" w:sz="4" w:space="0" w:color="auto"/>
            </w:tcBorders>
            <w:shd w:val="clear" w:color="auto" w:fill="auto"/>
            <w:hideMark/>
          </w:tcPr>
          <w:p w14:paraId="39345613"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relative rate of death for severe acute malnutrition</w:t>
            </w:r>
          </w:p>
        </w:tc>
        <w:tc>
          <w:tcPr>
            <w:tcW w:w="992" w:type="dxa"/>
            <w:tcBorders>
              <w:top w:val="nil"/>
              <w:left w:val="nil"/>
              <w:bottom w:val="single" w:sz="4" w:space="0" w:color="auto"/>
              <w:right w:val="single" w:sz="4" w:space="0" w:color="auto"/>
            </w:tcBorders>
            <w:shd w:val="clear" w:color="auto" w:fill="auto"/>
            <w:hideMark/>
          </w:tcPr>
          <w:p w14:paraId="27D6E43B"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1.4</w:t>
            </w:r>
          </w:p>
        </w:tc>
        <w:tc>
          <w:tcPr>
            <w:tcW w:w="3355" w:type="dxa"/>
            <w:tcBorders>
              <w:top w:val="nil"/>
              <w:left w:val="nil"/>
              <w:bottom w:val="single" w:sz="4" w:space="0" w:color="auto"/>
              <w:right w:val="single" w:sz="4" w:space="0" w:color="auto"/>
            </w:tcBorders>
            <w:shd w:val="clear" w:color="auto" w:fill="auto"/>
            <w:hideMark/>
          </w:tcPr>
          <w:p w14:paraId="79FE704A"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55E46F92"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37460D9A"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proportion_viral_pneumonia_by_RSV</w:t>
            </w:r>
          </w:p>
        </w:tc>
        <w:tc>
          <w:tcPr>
            <w:tcW w:w="3402" w:type="dxa"/>
            <w:tcBorders>
              <w:top w:val="nil"/>
              <w:left w:val="nil"/>
              <w:bottom w:val="single" w:sz="4" w:space="0" w:color="auto"/>
              <w:right w:val="single" w:sz="4" w:space="0" w:color="auto"/>
            </w:tcBorders>
            <w:shd w:val="clear" w:color="auto" w:fill="auto"/>
            <w:hideMark/>
          </w:tcPr>
          <w:p w14:paraId="15848CF0"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proportion of RSV-ALRI causing viral pneumonia</w:t>
            </w:r>
          </w:p>
        </w:tc>
        <w:tc>
          <w:tcPr>
            <w:tcW w:w="992" w:type="dxa"/>
            <w:tcBorders>
              <w:top w:val="nil"/>
              <w:left w:val="nil"/>
              <w:bottom w:val="single" w:sz="4" w:space="0" w:color="auto"/>
              <w:right w:val="single" w:sz="4" w:space="0" w:color="auto"/>
            </w:tcBorders>
            <w:shd w:val="clear" w:color="auto" w:fill="auto"/>
            <w:hideMark/>
          </w:tcPr>
          <w:p w14:paraId="191F8B5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0.5</w:t>
            </w:r>
          </w:p>
        </w:tc>
        <w:tc>
          <w:tcPr>
            <w:tcW w:w="3355" w:type="dxa"/>
            <w:vMerge w:val="restart"/>
            <w:tcBorders>
              <w:top w:val="nil"/>
              <w:left w:val="single" w:sz="4" w:space="0" w:color="auto"/>
              <w:bottom w:val="single" w:sz="4" w:space="0" w:color="000000"/>
              <w:right w:val="single" w:sz="4" w:space="0" w:color="auto"/>
            </w:tcBorders>
            <w:shd w:val="clear" w:color="auto" w:fill="auto"/>
            <w:hideMark/>
          </w:tcPr>
          <w:p w14:paraId="6A30316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 xml:space="preserve">To be calculated from the Table </w:t>
            </w:r>
            <w:r>
              <w:rPr>
                <w:rFonts w:eastAsia="Times New Roman" w:cs="Arial"/>
                <w:color w:val="000000"/>
                <w:sz w:val="20"/>
                <w:szCs w:val="20"/>
                <w:lang w:eastAsia="en-GB"/>
              </w:rPr>
              <w:t xml:space="preserve">8 </w:t>
            </w:r>
            <w:r w:rsidRPr="002515AD">
              <w:rPr>
                <w:rFonts w:eastAsia="Times New Roman" w:cs="Arial"/>
                <w:color w:val="000000"/>
                <w:sz w:val="20"/>
                <w:szCs w:val="20"/>
                <w:lang w:eastAsia="en-GB"/>
              </w:rPr>
              <w:t>on ALRI incidence values</w:t>
            </w:r>
          </w:p>
        </w:tc>
      </w:tr>
      <w:tr w:rsidR="000979B2" w:rsidRPr="002515AD" w14:paraId="60E09095"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3799197E"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proportion_viral_pneumonia_by_Rhinovirus</w:t>
            </w:r>
          </w:p>
        </w:tc>
        <w:tc>
          <w:tcPr>
            <w:tcW w:w="3402" w:type="dxa"/>
            <w:tcBorders>
              <w:top w:val="nil"/>
              <w:left w:val="nil"/>
              <w:bottom w:val="single" w:sz="4" w:space="0" w:color="auto"/>
              <w:right w:val="single" w:sz="4" w:space="0" w:color="auto"/>
            </w:tcBorders>
            <w:shd w:val="clear" w:color="auto" w:fill="auto"/>
            <w:hideMark/>
          </w:tcPr>
          <w:p w14:paraId="0773CE5E"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proportion of rhinovirus-ALRI causing viral pneumonia</w:t>
            </w:r>
          </w:p>
        </w:tc>
        <w:tc>
          <w:tcPr>
            <w:tcW w:w="992" w:type="dxa"/>
            <w:tcBorders>
              <w:top w:val="nil"/>
              <w:left w:val="nil"/>
              <w:bottom w:val="single" w:sz="4" w:space="0" w:color="auto"/>
              <w:right w:val="single" w:sz="4" w:space="0" w:color="auto"/>
            </w:tcBorders>
            <w:shd w:val="clear" w:color="auto" w:fill="auto"/>
            <w:hideMark/>
          </w:tcPr>
          <w:p w14:paraId="00C0AC97"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0.5</w:t>
            </w:r>
          </w:p>
        </w:tc>
        <w:tc>
          <w:tcPr>
            <w:tcW w:w="3355" w:type="dxa"/>
            <w:vMerge/>
            <w:tcBorders>
              <w:top w:val="nil"/>
              <w:left w:val="single" w:sz="4" w:space="0" w:color="auto"/>
              <w:bottom w:val="single" w:sz="4" w:space="0" w:color="000000"/>
              <w:right w:val="single" w:sz="4" w:space="0" w:color="auto"/>
            </w:tcBorders>
            <w:vAlign w:val="center"/>
            <w:hideMark/>
          </w:tcPr>
          <w:p w14:paraId="7AA9D86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015BEFEE"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22179858"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proportion_viral_pneumonia_by_HMPV</w:t>
            </w:r>
          </w:p>
        </w:tc>
        <w:tc>
          <w:tcPr>
            <w:tcW w:w="3402" w:type="dxa"/>
            <w:tcBorders>
              <w:top w:val="nil"/>
              <w:left w:val="nil"/>
              <w:bottom w:val="single" w:sz="4" w:space="0" w:color="auto"/>
              <w:right w:val="single" w:sz="4" w:space="0" w:color="auto"/>
            </w:tcBorders>
            <w:shd w:val="clear" w:color="auto" w:fill="auto"/>
            <w:hideMark/>
          </w:tcPr>
          <w:p w14:paraId="7E3C373D"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proportion of HMPV-ALRI causing viral pneumonia</w:t>
            </w:r>
          </w:p>
        </w:tc>
        <w:tc>
          <w:tcPr>
            <w:tcW w:w="992" w:type="dxa"/>
            <w:tcBorders>
              <w:top w:val="nil"/>
              <w:left w:val="nil"/>
              <w:bottom w:val="single" w:sz="4" w:space="0" w:color="auto"/>
              <w:right w:val="single" w:sz="4" w:space="0" w:color="auto"/>
            </w:tcBorders>
            <w:shd w:val="clear" w:color="auto" w:fill="auto"/>
            <w:hideMark/>
          </w:tcPr>
          <w:p w14:paraId="6720261B"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0.5</w:t>
            </w:r>
          </w:p>
        </w:tc>
        <w:tc>
          <w:tcPr>
            <w:tcW w:w="3355" w:type="dxa"/>
            <w:vMerge/>
            <w:tcBorders>
              <w:top w:val="nil"/>
              <w:left w:val="single" w:sz="4" w:space="0" w:color="auto"/>
              <w:bottom w:val="single" w:sz="4" w:space="0" w:color="000000"/>
              <w:right w:val="single" w:sz="4" w:space="0" w:color="auto"/>
            </w:tcBorders>
            <w:vAlign w:val="center"/>
            <w:hideMark/>
          </w:tcPr>
          <w:p w14:paraId="5762B8E4"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136D478B"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3F101C8E"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proportion_viral_pneumonia_by_Parainfluenza</w:t>
            </w:r>
          </w:p>
        </w:tc>
        <w:tc>
          <w:tcPr>
            <w:tcW w:w="3402" w:type="dxa"/>
            <w:tcBorders>
              <w:top w:val="nil"/>
              <w:left w:val="nil"/>
              <w:bottom w:val="single" w:sz="4" w:space="0" w:color="auto"/>
              <w:right w:val="single" w:sz="4" w:space="0" w:color="auto"/>
            </w:tcBorders>
            <w:shd w:val="clear" w:color="auto" w:fill="auto"/>
            <w:hideMark/>
          </w:tcPr>
          <w:p w14:paraId="68245C09"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proportion of parainfluenza-ALRI causing viral pneumonia</w:t>
            </w:r>
          </w:p>
        </w:tc>
        <w:tc>
          <w:tcPr>
            <w:tcW w:w="992" w:type="dxa"/>
            <w:tcBorders>
              <w:top w:val="nil"/>
              <w:left w:val="nil"/>
              <w:bottom w:val="single" w:sz="4" w:space="0" w:color="auto"/>
              <w:right w:val="single" w:sz="4" w:space="0" w:color="auto"/>
            </w:tcBorders>
            <w:shd w:val="clear" w:color="auto" w:fill="auto"/>
            <w:hideMark/>
          </w:tcPr>
          <w:p w14:paraId="55EBB284"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0.5</w:t>
            </w:r>
          </w:p>
        </w:tc>
        <w:tc>
          <w:tcPr>
            <w:tcW w:w="3355" w:type="dxa"/>
            <w:vMerge/>
            <w:tcBorders>
              <w:top w:val="nil"/>
              <w:left w:val="single" w:sz="4" w:space="0" w:color="auto"/>
              <w:bottom w:val="single" w:sz="4" w:space="0" w:color="000000"/>
              <w:right w:val="single" w:sz="4" w:space="0" w:color="auto"/>
            </w:tcBorders>
            <w:vAlign w:val="center"/>
            <w:hideMark/>
          </w:tcPr>
          <w:p w14:paraId="4E2C455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1739D1CA"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625E5BA9"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lastRenderedPageBreak/>
              <w:t>proportion_viral_pneumonia_by_Influenza</w:t>
            </w:r>
          </w:p>
        </w:tc>
        <w:tc>
          <w:tcPr>
            <w:tcW w:w="3402" w:type="dxa"/>
            <w:tcBorders>
              <w:top w:val="nil"/>
              <w:left w:val="nil"/>
              <w:bottom w:val="single" w:sz="4" w:space="0" w:color="auto"/>
              <w:right w:val="single" w:sz="4" w:space="0" w:color="auto"/>
            </w:tcBorders>
            <w:shd w:val="clear" w:color="auto" w:fill="auto"/>
            <w:hideMark/>
          </w:tcPr>
          <w:p w14:paraId="58EF5D20"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proportion of influenza-ALRI causing viral pneumonia</w:t>
            </w:r>
          </w:p>
        </w:tc>
        <w:tc>
          <w:tcPr>
            <w:tcW w:w="992" w:type="dxa"/>
            <w:tcBorders>
              <w:top w:val="nil"/>
              <w:left w:val="nil"/>
              <w:bottom w:val="single" w:sz="4" w:space="0" w:color="auto"/>
              <w:right w:val="single" w:sz="4" w:space="0" w:color="auto"/>
            </w:tcBorders>
            <w:shd w:val="clear" w:color="auto" w:fill="auto"/>
            <w:hideMark/>
          </w:tcPr>
          <w:p w14:paraId="71D482B1"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0.5</w:t>
            </w:r>
          </w:p>
        </w:tc>
        <w:tc>
          <w:tcPr>
            <w:tcW w:w="3355" w:type="dxa"/>
            <w:vMerge/>
            <w:tcBorders>
              <w:top w:val="nil"/>
              <w:left w:val="single" w:sz="4" w:space="0" w:color="auto"/>
              <w:bottom w:val="single" w:sz="4" w:space="0" w:color="000000"/>
              <w:right w:val="single" w:sz="4" w:space="0" w:color="auto"/>
            </w:tcBorders>
            <w:vAlign w:val="center"/>
            <w:hideMark/>
          </w:tcPr>
          <w:p w14:paraId="00A6B9F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6DBCFE98"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2031F2AD"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proportion_viral_pneumonia_by_Adenovirus</w:t>
            </w:r>
          </w:p>
        </w:tc>
        <w:tc>
          <w:tcPr>
            <w:tcW w:w="3402" w:type="dxa"/>
            <w:tcBorders>
              <w:top w:val="nil"/>
              <w:left w:val="nil"/>
              <w:bottom w:val="single" w:sz="4" w:space="0" w:color="auto"/>
              <w:right w:val="single" w:sz="4" w:space="0" w:color="auto"/>
            </w:tcBorders>
            <w:shd w:val="clear" w:color="auto" w:fill="auto"/>
            <w:hideMark/>
          </w:tcPr>
          <w:p w14:paraId="37378FFB"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proportion of adenovirus-ALRI causing viral pneumonia</w:t>
            </w:r>
          </w:p>
        </w:tc>
        <w:tc>
          <w:tcPr>
            <w:tcW w:w="992" w:type="dxa"/>
            <w:tcBorders>
              <w:top w:val="nil"/>
              <w:left w:val="nil"/>
              <w:bottom w:val="single" w:sz="4" w:space="0" w:color="auto"/>
              <w:right w:val="single" w:sz="4" w:space="0" w:color="auto"/>
            </w:tcBorders>
            <w:shd w:val="clear" w:color="auto" w:fill="auto"/>
            <w:hideMark/>
          </w:tcPr>
          <w:p w14:paraId="699B6A0F"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0.5</w:t>
            </w:r>
          </w:p>
        </w:tc>
        <w:tc>
          <w:tcPr>
            <w:tcW w:w="3355" w:type="dxa"/>
            <w:vMerge/>
            <w:tcBorders>
              <w:top w:val="nil"/>
              <w:left w:val="single" w:sz="4" w:space="0" w:color="auto"/>
              <w:bottom w:val="single" w:sz="4" w:space="0" w:color="000000"/>
              <w:right w:val="single" w:sz="4" w:space="0" w:color="auto"/>
            </w:tcBorders>
            <w:vAlign w:val="center"/>
            <w:hideMark/>
          </w:tcPr>
          <w:p w14:paraId="0A40A9C1"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21039082"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067FF0E1"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proportion_viral_pneumonia_by_Bocavirus</w:t>
            </w:r>
          </w:p>
        </w:tc>
        <w:tc>
          <w:tcPr>
            <w:tcW w:w="3402" w:type="dxa"/>
            <w:tcBorders>
              <w:top w:val="nil"/>
              <w:left w:val="nil"/>
              <w:bottom w:val="single" w:sz="4" w:space="0" w:color="auto"/>
              <w:right w:val="single" w:sz="4" w:space="0" w:color="auto"/>
            </w:tcBorders>
            <w:shd w:val="clear" w:color="auto" w:fill="auto"/>
            <w:hideMark/>
          </w:tcPr>
          <w:p w14:paraId="75488B54"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proportion of bocavirus-ALRI causing viral pneumonia</w:t>
            </w:r>
          </w:p>
        </w:tc>
        <w:tc>
          <w:tcPr>
            <w:tcW w:w="992" w:type="dxa"/>
            <w:tcBorders>
              <w:top w:val="nil"/>
              <w:left w:val="nil"/>
              <w:bottom w:val="single" w:sz="4" w:space="0" w:color="auto"/>
              <w:right w:val="single" w:sz="4" w:space="0" w:color="auto"/>
            </w:tcBorders>
            <w:shd w:val="clear" w:color="auto" w:fill="auto"/>
            <w:hideMark/>
          </w:tcPr>
          <w:p w14:paraId="7B15FA11"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0.5</w:t>
            </w:r>
          </w:p>
        </w:tc>
        <w:tc>
          <w:tcPr>
            <w:tcW w:w="3355" w:type="dxa"/>
            <w:vMerge/>
            <w:tcBorders>
              <w:top w:val="nil"/>
              <w:left w:val="single" w:sz="4" w:space="0" w:color="auto"/>
              <w:bottom w:val="single" w:sz="4" w:space="0" w:color="000000"/>
              <w:right w:val="single" w:sz="4" w:space="0" w:color="auto"/>
            </w:tcBorders>
            <w:vAlign w:val="center"/>
            <w:hideMark/>
          </w:tcPr>
          <w:p w14:paraId="15275564"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246B4018"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20CB8107"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proportion_viral_pneumonia_by_other_viral_pathogens</w:t>
            </w:r>
          </w:p>
        </w:tc>
        <w:tc>
          <w:tcPr>
            <w:tcW w:w="3402" w:type="dxa"/>
            <w:tcBorders>
              <w:top w:val="nil"/>
              <w:left w:val="nil"/>
              <w:bottom w:val="single" w:sz="4" w:space="0" w:color="auto"/>
              <w:right w:val="single" w:sz="4" w:space="0" w:color="auto"/>
            </w:tcBorders>
            <w:shd w:val="clear" w:color="auto" w:fill="auto"/>
            <w:hideMark/>
          </w:tcPr>
          <w:p w14:paraId="3A21AD0E"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proportion of other virus-ALRI causing viral pneumonia</w:t>
            </w:r>
          </w:p>
        </w:tc>
        <w:tc>
          <w:tcPr>
            <w:tcW w:w="992" w:type="dxa"/>
            <w:tcBorders>
              <w:top w:val="nil"/>
              <w:left w:val="nil"/>
              <w:bottom w:val="single" w:sz="4" w:space="0" w:color="auto"/>
              <w:right w:val="single" w:sz="4" w:space="0" w:color="auto"/>
            </w:tcBorders>
            <w:shd w:val="clear" w:color="auto" w:fill="auto"/>
            <w:hideMark/>
          </w:tcPr>
          <w:p w14:paraId="38F8BED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0.5</w:t>
            </w:r>
          </w:p>
        </w:tc>
        <w:tc>
          <w:tcPr>
            <w:tcW w:w="3355" w:type="dxa"/>
            <w:vMerge/>
            <w:tcBorders>
              <w:top w:val="nil"/>
              <w:left w:val="single" w:sz="4" w:space="0" w:color="auto"/>
              <w:bottom w:val="single" w:sz="4" w:space="0" w:color="000000"/>
              <w:right w:val="single" w:sz="4" w:space="0" w:color="auto"/>
            </w:tcBorders>
            <w:vAlign w:val="center"/>
            <w:hideMark/>
          </w:tcPr>
          <w:p w14:paraId="39BD0B67"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690FD54D"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41868BBF"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prob_fever_uncomplicated_ALRI_by_disease_type</w:t>
            </w:r>
          </w:p>
        </w:tc>
        <w:tc>
          <w:tcPr>
            <w:tcW w:w="3402" w:type="dxa"/>
            <w:tcBorders>
              <w:top w:val="nil"/>
              <w:left w:val="nil"/>
              <w:bottom w:val="single" w:sz="4" w:space="0" w:color="auto"/>
              <w:right w:val="single" w:sz="4" w:space="0" w:color="auto"/>
            </w:tcBorders>
            <w:shd w:val="clear" w:color="auto" w:fill="auto"/>
            <w:hideMark/>
          </w:tcPr>
          <w:p w14:paraId="61ABEC9C"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fever developing in each uncomplicated ALRI disease</w:t>
            </w:r>
          </w:p>
        </w:tc>
        <w:tc>
          <w:tcPr>
            <w:tcW w:w="992" w:type="dxa"/>
            <w:tcBorders>
              <w:top w:val="nil"/>
              <w:left w:val="nil"/>
              <w:bottom w:val="single" w:sz="4" w:space="0" w:color="auto"/>
              <w:right w:val="single" w:sz="4" w:space="0" w:color="auto"/>
            </w:tcBorders>
            <w:shd w:val="clear" w:color="auto" w:fill="auto"/>
            <w:hideMark/>
          </w:tcPr>
          <w:p w14:paraId="1BA10ECA"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0.5, 0.5, 0.5</w:t>
            </w:r>
          </w:p>
        </w:tc>
        <w:tc>
          <w:tcPr>
            <w:tcW w:w="3355" w:type="dxa"/>
            <w:vMerge w:val="restart"/>
            <w:tcBorders>
              <w:top w:val="nil"/>
              <w:left w:val="single" w:sz="4" w:space="0" w:color="auto"/>
              <w:bottom w:val="single" w:sz="4" w:space="0" w:color="000000"/>
              <w:right w:val="single" w:sz="4" w:space="0" w:color="auto"/>
            </w:tcBorders>
            <w:shd w:val="clear" w:color="auto" w:fill="auto"/>
            <w:hideMark/>
          </w:tcPr>
          <w:p w14:paraId="0CC1275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respectively for [bacterial pneumonia, viral pneumonia, bronchiolitis]</w:t>
            </w:r>
          </w:p>
        </w:tc>
      </w:tr>
      <w:tr w:rsidR="000979B2" w:rsidRPr="002515AD" w14:paraId="068DAE3E"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1F76E5DB"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prob_cough_uncomplicated_ALRI_by_disease_type</w:t>
            </w:r>
          </w:p>
        </w:tc>
        <w:tc>
          <w:tcPr>
            <w:tcW w:w="3402" w:type="dxa"/>
            <w:tcBorders>
              <w:top w:val="nil"/>
              <w:left w:val="nil"/>
              <w:bottom w:val="single" w:sz="4" w:space="0" w:color="auto"/>
              <w:right w:val="single" w:sz="4" w:space="0" w:color="auto"/>
            </w:tcBorders>
            <w:shd w:val="clear" w:color="auto" w:fill="auto"/>
            <w:hideMark/>
          </w:tcPr>
          <w:p w14:paraId="2F5CD834"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cough developing in each uncomplicated ALRI disease</w:t>
            </w:r>
          </w:p>
        </w:tc>
        <w:tc>
          <w:tcPr>
            <w:tcW w:w="992" w:type="dxa"/>
            <w:tcBorders>
              <w:top w:val="nil"/>
              <w:left w:val="nil"/>
              <w:bottom w:val="single" w:sz="4" w:space="0" w:color="auto"/>
              <w:right w:val="single" w:sz="4" w:space="0" w:color="auto"/>
            </w:tcBorders>
            <w:shd w:val="clear" w:color="auto" w:fill="auto"/>
            <w:hideMark/>
          </w:tcPr>
          <w:p w14:paraId="17DF0DF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0.9, 0.9, 0.9</w:t>
            </w:r>
          </w:p>
        </w:tc>
        <w:tc>
          <w:tcPr>
            <w:tcW w:w="3355" w:type="dxa"/>
            <w:vMerge/>
            <w:tcBorders>
              <w:top w:val="nil"/>
              <w:left w:val="single" w:sz="4" w:space="0" w:color="auto"/>
              <w:bottom w:val="single" w:sz="4" w:space="0" w:color="000000"/>
              <w:right w:val="single" w:sz="4" w:space="0" w:color="auto"/>
            </w:tcBorders>
            <w:vAlign w:val="center"/>
            <w:hideMark/>
          </w:tcPr>
          <w:p w14:paraId="6327BD15"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368B2BE5"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04622B50"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prob_difficult_breathing_uncomplicated_ALRI_by_disease_type</w:t>
            </w:r>
          </w:p>
        </w:tc>
        <w:tc>
          <w:tcPr>
            <w:tcW w:w="3402" w:type="dxa"/>
            <w:tcBorders>
              <w:top w:val="nil"/>
              <w:left w:val="nil"/>
              <w:bottom w:val="single" w:sz="4" w:space="0" w:color="auto"/>
              <w:right w:val="single" w:sz="4" w:space="0" w:color="auto"/>
            </w:tcBorders>
            <w:shd w:val="clear" w:color="auto" w:fill="auto"/>
            <w:hideMark/>
          </w:tcPr>
          <w:p w14:paraId="452444AC"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difficult breathing developing in each uncomplicated ALRI disease</w:t>
            </w:r>
          </w:p>
        </w:tc>
        <w:tc>
          <w:tcPr>
            <w:tcW w:w="992" w:type="dxa"/>
            <w:tcBorders>
              <w:top w:val="nil"/>
              <w:left w:val="nil"/>
              <w:bottom w:val="single" w:sz="4" w:space="0" w:color="auto"/>
              <w:right w:val="single" w:sz="4" w:space="0" w:color="auto"/>
            </w:tcBorders>
            <w:shd w:val="clear" w:color="auto" w:fill="auto"/>
            <w:hideMark/>
          </w:tcPr>
          <w:p w14:paraId="1B6B658F"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0.9, 0.9, 0.9</w:t>
            </w:r>
          </w:p>
        </w:tc>
        <w:tc>
          <w:tcPr>
            <w:tcW w:w="3355" w:type="dxa"/>
            <w:vMerge/>
            <w:tcBorders>
              <w:top w:val="nil"/>
              <w:left w:val="single" w:sz="4" w:space="0" w:color="auto"/>
              <w:bottom w:val="single" w:sz="4" w:space="0" w:color="000000"/>
              <w:right w:val="single" w:sz="4" w:space="0" w:color="auto"/>
            </w:tcBorders>
            <w:vAlign w:val="center"/>
            <w:hideMark/>
          </w:tcPr>
          <w:p w14:paraId="0223E815"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11DD3FC8"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141FC7DD"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prob_fast_breathing_uncomplicated_ALRI_by_disease_type</w:t>
            </w:r>
          </w:p>
        </w:tc>
        <w:tc>
          <w:tcPr>
            <w:tcW w:w="3402" w:type="dxa"/>
            <w:tcBorders>
              <w:top w:val="nil"/>
              <w:left w:val="nil"/>
              <w:bottom w:val="single" w:sz="4" w:space="0" w:color="auto"/>
              <w:right w:val="single" w:sz="4" w:space="0" w:color="auto"/>
            </w:tcBorders>
            <w:shd w:val="clear" w:color="auto" w:fill="auto"/>
            <w:hideMark/>
          </w:tcPr>
          <w:p w14:paraId="22432155"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fast breathing developing in each uncomplicated ALRI disease</w:t>
            </w:r>
          </w:p>
        </w:tc>
        <w:tc>
          <w:tcPr>
            <w:tcW w:w="992" w:type="dxa"/>
            <w:tcBorders>
              <w:top w:val="nil"/>
              <w:left w:val="nil"/>
              <w:bottom w:val="single" w:sz="4" w:space="0" w:color="auto"/>
              <w:right w:val="single" w:sz="4" w:space="0" w:color="auto"/>
            </w:tcBorders>
            <w:shd w:val="clear" w:color="auto" w:fill="auto"/>
            <w:hideMark/>
          </w:tcPr>
          <w:p w14:paraId="04628EA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0.9, 0.9, 0.9</w:t>
            </w:r>
          </w:p>
        </w:tc>
        <w:tc>
          <w:tcPr>
            <w:tcW w:w="3355" w:type="dxa"/>
            <w:vMerge/>
            <w:tcBorders>
              <w:top w:val="nil"/>
              <w:left w:val="single" w:sz="4" w:space="0" w:color="auto"/>
              <w:bottom w:val="single" w:sz="4" w:space="0" w:color="000000"/>
              <w:right w:val="single" w:sz="4" w:space="0" w:color="auto"/>
            </w:tcBorders>
            <w:vAlign w:val="center"/>
            <w:hideMark/>
          </w:tcPr>
          <w:p w14:paraId="5406544F"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73B88E9E"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6FE49067"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prob_chest_indrawing_uncomplicated_ALRI_by_disease_type</w:t>
            </w:r>
          </w:p>
        </w:tc>
        <w:tc>
          <w:tcPr>
            <w:tcW w:w="3402" w:type="dxa"/>
            <w:tcBorders>
              <w:top w:val="nil"/>
              <w:left w:val="nil"/>
              <w:bottom w:val="single" w:sz="4" w:space="0" w:color="auto"/>
              <w:right w:val="single" w:sz="4" w:space="0" w:color="auto"/>
            </w:tcBorders>
            <w:shd w:val="clear" w:color="auto" w:fill="auto"/>
            <w:hideMark/>
          </w:tcPr>
          <w:p w14:paraId="2E84BAD4"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chest indrawing developing in each uncomplicated ALRI disease</w:t>
            </w:r>
          </w:p>
        </w:tc>
        <w:tc>
          <w:tcPr>
            <w:tcW w:w="992" w:type="dxa"/>
            <w:tcBorders>
              <w:top w:val="nil"/>
              <w:left w:val="nil"/>
              <w:bottom w:val="single" w:sz="4" w:space="0" w:color="auto"/>
              <w:right w:val="single" w:sz="4" w:space="0" w:color="auto"/>
            </w:tcBorders>
            <w:shd w:val="clear" w:color="auto" w:fill="auto"/>
            <w:hideMark/>
          </w:tcPr>
          <w:p w14:paraId="350010C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0.2995, 0.2995, 0.2995</w:t>
            </w:r>
          </w:p>
        </w:tc>
        <w:tc>
          <w:tcPr>
            <w:tcW w:w="3355" w:type="dxa"/>
            <w:vMerge/>
            <w:tcBorders>
              <w:top w:val="nil"/>
              <w:left w:val="single" w:sz="4" w:space="0" w:color="auto"/>
              <w:bottom w:val="single" w:sz="4" w:space="0" w:color="000000"/>
              <w:right w:val="single" w:sz="4" w:space="0" w:color="auto"/>
            </w:tcBorders>
            <w:vAlign w:val="center"/>
            <w:hideMark/>
          </w:tcPr>
          <w:p w14:paraId="5E90CA95"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44586906"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0A443119"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prob_danger_signs_uncomplicated_ALRI_by_disease_type</w:t>
            </w:r>
          </w:p>
        </w:tc>
        <w:tc>
          <w:tcPr>
            <w:tcW w:w="3402" w:type="dxa"/>
            <w:tcBorders>
              <w:top w:val="nil"/>
              <w:left w:val="nil"/>
              <w:bottom w:val="single" w:sz="4" w:space="0" w:color="auto"/>
              <w:right w:val="single" w:sz="4" w:space="0" w:color="auto"/>
            </w:tcBorders>
            <w:shd w:val="clear" w:color="auto" w:fill="auto"/>
            <w:hideMark/>
          </w:tcPr>
          <w:p w14:paraId="751C3C8F"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danger signs developing in each uncomplicated ALRI disease</w:t>
            </w:r>
          </w:p>
        </w:tc>
        <w:tc>
          <w:tcPr>
            <w:tcW w:w="992" w:type="dxa"/>
            <w:tcBorders>
              <w:top w:val="nil"/>
              <w:left w:val="nil"/>
              <w:bottom w:val="single" w:sz="4" w:space="0" w:color="auto"/>
              <w:right w:val="single" w:sz="4" w:space="0" w:color="auto"/>
            </w:tcBorders>
            <w:shd w:val="clear" w:color="auto" w:fill="auto"/>
            <w:hideMark/>
          </w:tcPr>
          <w:p w14:paraId="574C27CB"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0.095, 0.095, 0.095</w:t>
            </w:r>
          </w:p>
        </w:tc>
        <w:tc>
          <w:tcPr>
            <w:tcW w:w="3355" w:type="dxa"/>
            <w:vMerge/>
            <w:tcBorders>
              <w:top w:val="nil"/>
              <w:left w:val="single" w:sz="4" w:space="0" w:color="auto"/>
              <w:bottom w:val="single" w:sz="4" w:space="0" w:color="000000"/>
              <w:right w:val="single" w:sz="4" w:space="0" w:color="auto"/>
            </w:tcBorders>
            <w:vAlign w:val="center"/>
            <w:hideMark/>
          </w:tcPr>
          <w:p w14:paraId="1F9F7BA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p>
        </w:tc>
      </w:tr>
      <w:tr w:rsidR="000979B2" w:rsidRPr="002515AD" w14:paraId="7BCBFDC0"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0EC1E878"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prob_loss_of_appetite_adding_from_pleural_effusion</w:t>
            </w:r>
          </w:p>
        </w:tc>
        <w:tc>
          <w:tcPr>
            <w:tcW w:w="3402" w:type="dxa"/>
            <w:tcBorders>
              <w:top w:val="nil"/>
              <w:left w:val="nil"/>
              <w:bottom w:val="single" w:sz="4" w:space="0" w:color="auto"/>
              <w:right w:val="single" w:sz="4" w:space="0" w:color="auto"/>
            </w:tcBorders>
            <w:shd w:val="clear" w:color="auto" w:fill="auto"/>
            <w:hideMark/>
          </w:tcPr>
          <w:p w14:paraId="3FFFFC8A"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loss of ap</w:t>
            </w:r>
            <w:r>
              <w:rPr>
                <w:rFonts w:eastAsia="Times New Roman" w:cs="Arial"/>
                <w:sz w:val="20"/>
                <w:szCs w:val="20"/>
                <w:lang w:eastAsia="en-GB"/>
              </w:rPr>
              <w:t>p</w:t>
            </w:r>
            <w:r w:rsidRPr="002515AD">
              <w:rPr>
                <w:rFonts w:eastAsia="Times New Roman" w:cs="Arial"/>
                <w:sz w:val="20"/>
                <w:szCs w:val="20"/>
                <w:lang w:eastAsia="en-GB"/>
              </w:rPr>
              <w:t>etite developing in each uncomplicated ALRI disease</w:t>
            </w:r>
          </w:p>
        </w:tc>
        <w:tc>
          <w:tcPr>
            <w:tcW w:w="992" w:type="dxa"/>
            <w:tcBorders>
              <w:top w:val="nil"/>
              <w:left w:val="nil"/>
              <w:bottom w:val="single" w:sz="4" w:space="0" w:color="auto"/>
              <w:right w:val="single" w:sz="4" w:space="0" w:color="auto"/>
            </w:tcBorders>
            <w:shd w:val="clear" w:color="auto" w:fill="auto"/>
            <w:hideMark/>
          </w:tcPr>
          <w:p w14:paraId="5A8815C5"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31B80607"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2C3BDDFD"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5BD2AC54"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prob_loss_of_appetite_adding_from_empyema</w:t>
            </w:r>
          </w:p>
        </w:tc>
        <w:tc>
          <w:tcPr>
            <w:tcW w:w="3402" w:type="dxa"/>
            <w:tcBorders>
              <w:top w:val="nil"/>
              <w:left w:val="nil"/>
              <w:bottom w:val="single" w:sz="4" w:space="0" w:color="auto"/>
              <w:right w:val="single" w:sz="4" w:space="0" w:color="auto"/>
            </w:tcBorders>
            <w:shd w:val="clear" w:color="auto" w:fill="auto"/>
            <w:hideMark/>
          </w:tcPr>
          <w:p w14:paraId="3C29FCD7"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loss of ap</w:t>
            </w:r>
            <w:r>
              <w:rPr>
                <w:rFonts w:eastAsia="Times New Roman" w:cs="Arial"/>
                <w:sz w:val="20"/>
                <w:szCs w:val="20"/>
                <w:lang w:eastAsia="en-GB"/>
              </w:rPr>
              <w:t>p</w:t>
            </w:r>
            <w:r w:rsidRPr="002515AD">
              <w:rPr>
                <w:rFonts w:eastAsia="Times New Roman" w:cs="Arial"/>
                <w:sz w:val="20"/>
                <w:szCs w:val="20"/>
                <w:lang w:eastAsia="en-GB"/>
              </w:rPr>
              <w:t>etite developing due to empyema</w:t>
            </w:r>
          </w:p>
        </w:tc>
        <w:tc>
          <w:tcPr>
            <w:tcW w:w="992" w:type="dxa"/>
            <w:tcBorders>
              <w:top w:val="nil"/>
              <w:left w:val="nil"/>
              <w:bottom w:val="single" w:sz="4" w:space="0" w:color="auto"/>
              <w:right w:val="single" w:sz="4" w:space="0" w:color="auto"/>
            </w:tcBorders>
            <w:shd w:val="clear" w:color="auto" w:fill="auto"/>
            <w:hideMark/>
          </w:tcPr>
          <w:p w14:paraId="31D59448"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69A64F44"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444DAD2D"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0FBFF72C"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prob_severe_respiratory_distress_adding_from_respiratory_failure</w:t>
            </w:r>
          </w:p>
        </w:tc>
        <w:tc>
          <w:tcPr>
            <w:tcW w:w="3402" w:type="dxa"/>
            <w:tcBorders>
              <w:top w:val="nil"/>
              <w:left w:val="nil"/>
              <w:bottom w:val="single" w:sz="4" w:space="0" w:color="auto"/>
              <w:right w:val="single" w:sz="4" w:space="0" w:color="auto"/>
            </w:tcBorders>
            <w:shd w:val="clear" w:color="auto" w:fill="auto"/>
            <w:hideMark/>
          </w:tcPr>
          <w:p w14:paraId="527A18AB"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severe respiratory distress developing due to respiratory failure</w:t>
            </w:r>
          </w:p>
        </w:tc>
        <w:tc>
          <w:tcPr>
            <w:tcW w:w="992" w:type="dxa"/>
            <w:tcBorders>
              <w:top w:val="nil"/>
              <w:left w:val="nil"/>
              <w:bottom w:val="single" w:sz="4" w:space="0" w:color="auto"/>
              <w:right w:val="single" w:sz="4" w:space="0" w:color="auto"/>
            </w:tcBorders>
            <w:shd w:val="clear" w:color="auto" w:fill="auto"/>
            <w:hideMark/>
          </w:tcPr>
          <w:p w14:paraId="31112F1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7B4940F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4E9E30A8"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72F97DC6"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prob_severe_respiratory_distress_adding_from_sepsis</w:t>
            </w:r>
          </w:p>
        </w:tc>
        <w:tc>
          <w:tcPr>
            <w:tcW w:w="3402" w:type="dxa"/>
            <w:tcBorders>
              <w:top w:val="nil"/>
              <w:left w:val="nil"/>
              <w:bottom w:val="single" w:sz="4" w:space="0" w:color="auto"/>
              <w:right w:val="single" w:sz="4" w:space="0" w:color="auto"/>
            </w:tcBorders>
            <w:shd w:val="clear" w:color="auto" w:fill="auto"/>
            <w:hideMark/>
          </w:tcPr>
          <w:p w14:paraId="685AFA61"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severe respiratory distress developing due to sepsis</w:t>
            </w:r>
          </w:p>
        </w:tc>
        <w:tc>
          <w:tcPr>
            <w:tcW w:w="992" w:type="dxa"/>
            <w:tcBorders>
              <w:top w:val="nil"/>
              <w:left w:val="nil"/>
              <w:bottom w:val="single" w:sz="4" w:space="0" w:color="auto"/>
              <w:right w:val="single" w:sz="4" w:space="0" w:color="auto"/>
            </w:tcBorders>
            <w:shd w:val="clear" w:color="auto" w:fill="auto"/>
            <w:hideMark/>
          </w:tcPr>
          <w:p w14:paraId="0544595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2A245358"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7C926291"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25BD8722"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days_between_treatment_and_cure</w:t>
            </w:r>
          </w:p>
        </w:tc>
        <w:tc>
          <w:tcPr>
            <w:tcW w:w="3402" w:type="dxa"/>
            <w:tcBorders>
              <w:top w:val="nil"/>
              <w:left w:val="nil"/>
              <w:bottom w:val="single" w:sz="4" w:space="0" w:color="auto"/>
              <w:right w:val="single" w:sz="4" w:space="0" w:color="auto"/>
            </w:tcBorders>
            <w:shd w:val="clear" w:color="auto" w:fill="auto"/>
            <w:hideMark/>
          </w:tcPr>
          <w:p w14:paraId="72F5DE9E"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days between treatment and resolving of symptoms</w:t>
            </w:r>
          </w:p>
        </w:tc>
        <w:tc>
          <w:tcPr>
            <w:tcW w:w="992" w:type="dxa"/>
            <w:tcBorders>
              <w:top w:val="nil"/>
              <w:left w:val="nil"/>
              <w:bottom w:val="single" w:sz="4" w:space="0" w:color="auto"/>
              <w:right w:val="single" w:sz="4" w:space="0" w:color="auto"/>
            </w:tcBorders>
            <w:shd w:val="clear" w:color="auto" w:fill="auto"/>
            <w:hideMark/>
          </w:tcPr>
          <w:p w14:paraId="5D6A473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10</w:t>
            </w:r>
          </w:p>
        </w:tc>
        <w:tc>
          <w:tcPr>
            <w:tcW w:w="3355" w:type="dxa"/>
            <w:tcBorders>
              <w:top w:val="nil"/>
              <w:left w:val="nil"/>
              <w:bottom w:val="single" w:sz="4" w:space="0" w:color="auto"/>
              <w:right w:val="single" w:sz="4" w:space="0" w:color="auto"/>
            </w:tcBorders>
            <w:shd w:val="clear" w:color="auto" w:fill="auto"/>
            <w:hideMark/>
          </w:tcPr>
          <w:p w14:paraId="513BC21B"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62D0EB3D"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16DC4FF0"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prob_chest_pain_adding_from_lung_abscess</w:t>
            </w:r>
          </w:p>
        </w:tc>
        <w:tc>
          <w:tcPr>
            <w:tcW w:w="3402" w:type="dxa"/>
            <w:tcBorders>
              <w:top w:val="nil"/>
              <w:left w:val="nil"/>
              <w:bottom w:val="single" w:sz="4" w:space="0" w:color="auto"/>
              <w:right w:val="single" w:sz="4" w:space="0" w:color="auto"/>
            </w:tcBorders>
            <w:shd w:val="clear" w:color="auto" w:fill="auto"/>
            <w:hideMark/>
          </w:tcPr>
          <w:p w14:paraId="1CF35606"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chest pain developing due to lung abscess</w:t>
            </w:r>
          </w:p>
        </w:tc>
        <w:tc>
          <w:tcPr>
            <w:tcW w:w="992" w:type="dxa"/>
            <w:tcBorders>
              <w:top w:val="nil"/>
              <w:left w:val="nil"/>
              <w:bottom w:val="single" w:sz="4" w:space="0" w:color="auto"/>
              <w:right w:val="single" w:sz="4" w:space="0" w:color="auto"/>
            </w:tcBorders>
            <w:shd w:val="clear" w:color="auto" w:fill="auto"/>
            <w:hideMark/>
          </w:tcPr>
          <w:p w14:paraId="3E37E19F"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00D76882"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63D27BFB"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03DD5CDB"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prob_tachypnoea_adding_from_lung_abscess</w:t>
            </w:r>
          </w:p>
        </w:tc>
        <w:tc>
          <w:tcPr>
            <w:tcW w:w="3402" w:type="dxa"/>
            <w:tcBorders>
              <w:top w:val="nil"/>
              <w:left w:val="nil"/>
              <w:bottom w:val="single" w:sz="4" w:space="0" w:color="auto"/>
              <w:right w:val="single" w:sz="4" w:space="0" w:color="auto"/>
            </w:tcBorders>
            <w:shd w:val="clear" w:color="auto" w:fill="auto"/>
            <w:hideMark/>
          </w:tcPr>
          <w:p w14:paraId="5E3FE665"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tachypnoea developing due to lung abscess</w:t>
            </w:r>
          </w:p>
        </w:tc>
        <w:tc>
          <w:tcPr>
            <w:tcW w:w="992" w:type="dxa"/>
            <w:tcBorders>
              <w:top w:val="nil"/>
              <w:left w:val="nil"/>
              <w:bottom w:val="single" w:sz="4" w:space="0" w:color="auto"/>
              <w:right w:val="single" w:sz="4" w:space="0" w:color="auto"/>
            </w:tcBorders>
            <w:shd w:val="clear" w:color="auto" w:fill="auto"/>
            <w:hideMark/>
          </w:tcPr>
          <w:p w14:paraId="54768A4E"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62A4B577"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073A7BF2"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1CEB3FA7"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prob_cough_sputum_adding_from_lung_abscess</w:t>
            </w:r>
          </w:p>
        </w:tc>
        <w:tc>
          <w:tcPr>
            <w:tcW w:w="3402" w:type="dxa"/>
            <w:tcBorders>
              <w:top w:val="nil"/>
              <w:left w:val="nil"/>
              <w:bottom w:val="single" w:sz="4" w:space="0" w:color="auto"/>
              <w:right w:val="single" w:sz="4" w:space="0" w:color="auto"/>
            </w:tcBorders>
            <w:shd w:val="clear" w:color="auto" w:fill="auto"/>
            <w:hideMark/>
          </w:tcPr>
          <w:p w14:paraId="07F599A0"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cough with sputum developing due to lung abscess</w:t>
            </w:r>
          </w:p>
        </w:tc>
        <w:tc>
          <w:tcPr>
            <w:tcW w:w="992" w:type="dxa"/>
            <w:tcBorders>
              <w:top w:val="nil"/>
              <w:left w:val="nil"/>
              <w:bottom w:val="single" w:sz="4" w:space="0" w:color="auto"/>
              <w:right w:val="single" w:sz="4" w:space="0" w:color="auto"/>
            </w:tcBorders>
            <w:shd w:val="clear" w:color="auto" w:fill="auto"/>
            <w:hideMark/>
          </w:tcPr>
          <w:p w14:paraId="74134C3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235ECF11"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60B52602"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69B1B24D"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prob_fever_adding_from_lung_abscess</w:t>
            </w:r>
          </w:p>
        </w:tc>
        <w:tc>
          <w:tcPr>
            <w:tcW w:w="3402" w:type="dxa"/>
            <w:tcBorders>
              <w:top w:val="nil"/>
              <w:left w:val="nil"/>
              <w:bottom w:val="single" w:sz="4" w:space="0" w:color="auto"/>
              <w:right w:val="single" w:sz="4" w:space="0" w:color="auto"/>
            </w:tcBorders>
            <w:shd w:val="clear" w:color="auto" w:fill="auto"/>
            <w:hideMark/>
          </w:tcPr>
          <w:p w14:paraId="6112276F"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fever developing due to lung abscess</w:t>
            </w:r>
          </w:p>
        </w:tc>
        <w:tc>
          <w:tcPr>
            <w:tcW w:w="992" w:type="dxa"/>
            <w:tcBorders>
              <w:top w:val="nil"/>
              <w:left w:val="nil"/>
              <w:bottom w:val="single" w:sz="4" w:space="0" w:color="auto"/>
              <w:right w:val="single" w:sz="4" w:space="0" w:color="auto"/>
            </w:tcBorders>
            <w:shd w:val="clear" w:color="auto" w:fill="auto"/>
            <w:hideMark/>
          </w:tcPr>
          <w:p w14:paraId="107FCA02"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11756BC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3F77F318"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207FFDB6"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prob_hemoptysis_adding_from_lung_abscess</w:t>
            </w:r>
          </w:p>
        </w:tc>
        <w:tc>
          <w:tcPr>
            <w:tcW w:w="3402" w:type="dxa"/>
            <w:tcBorders>
              <w:top w:val="nil"/>
              <w:left w:val="nil"/>
              <w:bottom w:val="single" w:sz="4" w:space="0" w:color="auto"/>
              <w:right w:val="single" w:sz="4" w:space="0" w:color="auto"/>
            </w:tcBorders>
            <w:shd w:val="clear" w:color="auto" w:fill="auto"/>
            <w:hideMark/>
          </w:tcPr>
          <w:p w14:paraId="6934E091"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hemoptysis developing due to lung abscess</w:t>
            </w:r>
          </w:p>
        </w:tc>
        <w:tc>
          <w:tcPr>
            <w:tcW w:w="992" w:type="dxa"/>
            <w:tcBorders>
              <w:top w:val="nil"/>
              <w:left w:val="nil"/>
              <w:bottom w:val="single" w:sz="4" w:space="0" w:color="auto"/>
              <w:right w:val="single" w:sz="4" w:space="0" w:color="auto"/>
            </w:tcBorders>
            <w:shd w:val="clear" w:color="auto" w:fill="auto"/>
            <w:hideMark/>
          </w:tcPr>
          <w:p w14:paraId="2C981662"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619F832B"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42CFB35E"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77B5BDD3"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prob_weight_loss_adding_from_lung_abscess</w:t>
            </w:r>
          </w:p>
        </w:tc>
        <w:tc>
          <w:tcPr>
            <w:tcW w:w="3402" w:type="dxa"/>
            <w:tcBorders>
              <w:top w:val="nil"/>
              <w:left w:val="nil"/>
              <w:bottom w:val="single" w:sz="4" w:space="0" w:color="auto"/>
              <w:right w:val="single" w:sz="4" w:space="0" w:color="auto"/>
            </w:tcBorders>
            <w:shd w:val="clear" w:color="auto" w:fill="auto"/>
            <w:hideMark/>
          </w:tcPr>
          <w:p w14:paraId="12404D41"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weight loss developing due to lung abscess</w:t>
            </w:r>
          </w:p>
        </w:tc>
        <w:tc>
          <w:tcPr>
            <w:tcW w:w="992" w:type="dxa"/>
            <w:tcBorders>
              <w:top w:val="nil"/>
              <w:left w:val="nil"/>
              <w:bottom w:val="single" w:sz="4" w:space="0" w:color="auto"/>
              <w:right w:val="single" w:sz="4" w:space="0" w:color="auto"/>
            </w:tcBorders>
            <w:shd w:val="clear" w:color="auto" w:fill="auto"/>
            <w:hideMark/>
          </w:tcPr>
          <w:p w14:paraId="47E064FE"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068F4ED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4A6C0B99"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3520F843"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prob_tachycardia_adding_from_lung_abscess</w:t>
            </w:r>
          </w:p>
        </w:tc>
        <w:tc>
          <w:tcPr>
            <w:tcW w:w="3402" w:type="dxa"/>
            <w:tcBorders>
              <w:top w:val="nil"/>
              <w:left w:val="nil"/>
              <w:bottom w:val="single" w:sz="4" w:space="0" w:color="auto"/>
              <w:right w:val="single" w:sz="4" w:space="0" w:color="auto"/>
            </w:tcBorders>
            <w:shd w:val="clear" w:color="auto" w:fill="auto"/>
            <w:hideMark/>
          </w:tcPr>
          <w:p w14:paraId="4CE0F762"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tachycardia developing due to lung abscess</w:t>
            </w:r>
          </w:p>
        </w:tc>
        <w:tc>
          <w:tcPr>
            <w:tcW w:w="992" w:type="dxa"/>
            <w:tcBorders>
              <w:top w:val="nil"/>
              <w:left w:val="nil"/>
              <w:bottom w:val="single" w:sz="4" w:space="0" w:color="auto"/>
              <w:right w:val="single" w:sz="4" w:space="0" w:color="auto"/>
            </w:tcBorders>
            <w:shd w:val="clear" w:color="auto" w:fill="auto"/>
            <w:hideMark/>
          </w:tcPr>
          <w:p w14:paraId="6D7F4AA8"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476009F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0B7AFD34"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2E05BA82"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prob_chest_pain_adding_from_pleural_effusion</w:t>
            </w:r>
          </w:p>
        </w:tc>
        <w:tc>
          <w:tcPr>
            <w:tcW w:w="3402" w:type="dxa"/>
            <w:tcBorders>
              <w:top w:val="nil"/>
              <w:left w:val="nil"/>
              <w:bottom w:val="single" w:sz="4" w:space="0" w:color="auto"/>
              <w:right w:val="single" w:sz="4" w:space="0" w:color="auto"/>
            </w:tcBorders>
            <w:shd w:val="clear" w:color="auto" w:fill="auto"/>
            <w:hideMark/>
          </w:tcPr>
          <w:p w14:paraId="2CD0E378"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chest pain developing due to pleural effusion</w:t>
            </w:r>
          </w:p>
        </w:tc>
        <w:tc>
          <w:tcPr>
            <w:tcW w:w="992" w:type="dxa"/>
            <w:tcBorders>
              <w:top w:val="nil"/>
              <w:left w:val="nil"/>
              <w:bottom w:val="single" w:sz="4" w:space="0" w:color="auto"/>
              <w:right w:val="single" w:sz="4" w:space="0" w:color="auto"/>
            </w:tcBorders>
            <w:shd w:val="clear" w:color="auto" w:fill="auto"/>
            <w:hideMark/>
          </w:tcPr>
          <w:p w14:paraId="64B34F0E"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4DECAB78"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32E057D2"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085068DE"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prob_cough_sputum_adding_from_pleural_effusion</w:t>
            </w:r>
          </w:p>
        </w:tc>
        <w:tc>
          <w:tcPr>
            <w:tcW w:w="3402" w:type="dxa"/>
            <w:tcBorders>
              <w:top w:val="nil"/>
              <w:left w:val="nil"/>
              <w:bottom w:val="single" w:sz="4" w:space="0" w:color="auto"/>
              <w:right w:val="single" w:sz="4" w:space="0" w:color="auto"/>
            </w:tcBorders>
            <w:shd w:val="clear" w:color="auto" w:fill="auto"/>
            <w:hideMark/>
          </w:tcPr>
          <w:p w14:paraId="0FD3D03D"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cough with sputum developing due to pleural effusion</w:t>
            </w:r>
          </w:p>
        </w:tc>
        <w:tc>
          <w:tcPr>
            <w:tcW w:w="992" w:type="dxa"/>
            <w:tcBorders>
              <w:top w:val="nil"/>
              <w:left w:val="nil"/>
              <w:bottom w:val="single" w:sz="4" w:space="0" w:color="auto"/>
              <w:right w:val="single" w:sz="4" w:space="0" w:color="auto"/>
            </w:tcBorders>
            <w:shd w:val="clear" w:color="auto" w:fill="auto"/>
            <w:hideMark/>
          </w:tcPr>
          <w:p w14:paraId="4BE8617E"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2CF0F47E"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2D769729"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6395E928"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lastRenderedPageBreak/>
              <w:t>prob_fever_adding_from_pleural_effusion</w:t>
            </w:r>
          </w:p>
        </w:tc>
        <w:tc>
          <w:tcPr>
            <w:tcW w:w="3402" w:type="dxa"/>
            <w:tcBorders>
              <w:top w:val="nil"/>
              <w:left w:val="nil"/>
              <w:bottom w:val="single" w:sz="4" w:space="0" w:color="auto"/>
              <w:right w:val="single" w:sz="4" w:space="0" w:color="auto"/>
            </w:tcBorders>
            <w:shd w:val="clear" w:color="auto" w:fill="auto"/>
            <w:hideMark/>
          </w:tcPr>
          <w:p w14:paraId="091E8385"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fever developing due to pleural effusion</w:t>
            </w:r>
          </w:p>
        </w:tc>
        <w:tc>
          <w:tcPr>
            <w:tcW w:w="992" w:type="dxa"/>
            <w:tcBorders>
              <w:top w:val="nil"/>
              <w:left w:val="nil"/>
              <w:bottom w:val="single" w:sz="4" w:space="0" w:color="auto"/>
              <w:right w:val="single" w:sz="4" w:space="0" w:color="auto"/>
            </w:tcBorders>
            <w:shd w:val="clear" w:color="auto" w:fill="auto"/>
            <w:hideMark/>
          </w:tcPr>
          <w:p w14:paraId="72A82C9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38C30A8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112EA381"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3991BE63"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prob_difficult_breathing_adding_from_pleural_effusion</w:t>
            </w:r>
          </w:p>
        </w:tc>
        <w:tc>
          <w:tcPr>
            <w:tcW w:w="3402" w:type="dxa"/>
            <w:tcBorders>
              <w:top w:val="nil"/>
              <w:left w:val="nil"/>
              <w:bottom w:val="single" w:sz="4" w:space="0" w:color="auto"/>
              <w:right w:val="single" w:sz="4" w:space="0" w:color="auto"/>
            </w:tcBorders>
            <w:shd w:val="clear" w:color="auto" w:fill="auto"/>
            <w:hideMark/>
          </w:tcPr>
          <w:p w14:paraId="2741A22D"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difficulty in breathing developing due to pleural effusion</w:t>
            </w:r>
          </w:p>
        </w:tc>
        <w:tc>
          <w:tcPr>
            <w:tcW w:w="992" w:type="dxa"/>
            <w:tcBorders>
              <w:top w:val="nil"/>
              <w:left w:val="nil"/>
              <w:bottom w:val="single" w:sz="4" w:space="0" w:color="auto"/>
              <w:right w:val="single" w:sz="4" w:space="0" w:color="auto"/>
            </w:tcBorders>
            <w:shd w:val="clear" w:color="auto" w:fill="auto"/>
            <w:hideMark/>
          </w:tcPr>
          <w:p w14:paraId="1BF75365"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7A470242"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54906AAF"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4543335A"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prob_chest_pain_adding_from_empyema</w:t>
            </w:r>
          </w:p>
        </w:tc>
        <w:tc>
          <w:tcPr>
            <w:tcW w:w="3402" w:type="dxa"/>
            <w:tcBorders>
              <w:top w:val="nil"/>
              <w:left w:val="nil"/>
              <w:bottom w:val="single" w:sz="4" w:space="0" w:color="auto"/>
              <w:right w:val="single" w:sz="4" w:space="0" w:color="auto"/>
            </w:tcBorders>
            <w:shd w:val="clear" w:color="auto" w:fill="auto"/>
            <w:hideMark/>
          </w:tcPr>
          <w:p w14:paraId="3E15D2F8"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chest pain developing due to empyema</w:t>
            </w:r>
          </w:p>
        </w:tc>
        <w:tc>
          <w:tcPr>
            <w:tcW w:w="992" w:type="dxa"/>
            <w:tcBorders>
              <w:top w:val="nil"/>
              <w:left w:val="nil"/>
              <w:bottom w:val="single" w:sz="4" w:space="0" w:color="auto"/>
              <w:right w:val="single" w:sz="4" w:space="0" w:color="auto"/>
            </w:tcBorders>
            <w:shd w:val="clear" w:color="auto" w:fill="auto"/>
            <w:hideMark/>
          </w:tcPr>
          <w:p w14:paraId="664B54A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72FC4FDB"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23CDF576"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4359AB98"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prob_cough_sputum_adding_from_empyema</w:t>
            </w:r>
          </w:p>
        </w:tc>
        <w:tc>
          <w:tcPr>
            <w:tcW w:w="3402" w:type="dxa"/>
            <w:tcBorders>
              <w:top w:val="nil"/>
              <w:left w:val="nil"/>
              <w:bottom w:val="single" w:sz="4" w:space="0" w:color="auto"/>
              <w:right w:val="single" w:sz="4" w:space="0" w:color="auto"/>
            </w:tcBorders>
            <w:shd w:val="clear" w:color="auto" w:fill="auto"/>
            <w:hideMark/>
          </w:tcPr>
          <w:p w14:paraId="6218AEE6"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cough with sputum developing due to empyema</w:t>
            </w:r>
          </w:p>
        </w:tc>
        <w:tc>
          <w:tcPr>
            <w:tcW w:w="992" w:type="dxa"/>
            <w:tcBorders>
              <w:top w:val="nil"/>
              <w:left w:val="nil"/>
              <w:bottom w:val="single" w:sz="4" w:space="0" w:color="auto"/>
              <w:right w:val="single" w:sz="4" w:space="0" w:color="auto"/>
            </w:tcBorders>
            <w:shd w:val="clear" w:color="auto" w:fill="auto"/>
            <w:hideMark/>
          </w:tcPr>
          <w:p w14:paraId="67FA8EB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1242B2B1"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4CC5A63B"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2F4E7C72"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prob_fever_adding_from_empyema</w:t>
            </w:r>
          </w:p>
        </w:tc>
        <w:tc>
          <w:tcPr>
            <w:tcW w:w="3402" w:type="dxa"/>
            <w:tcBorders>
              <w:top w:val="nil"/>
              <w:left w:val="nil"/>
              <w:bottom w:val="single" w:sz="4" w:space="0" w:color="auto"/>
              <w:right w:val="single" w:sz="4" w:space="0" w:color="auto"/>
            </w:tcBorders>
            <w:shd w:val="clear" w:color="auto" w:fill="auto"/>
            <w:hideMark/>
          </w:tcPr>
          <w:p w14:paraId="7108ED50"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fever developing due to empyema</w:t>
            </w:r>
          </w:p>
        </w:tc>
        <w:tc>
          <w:tcPr>
            <w:tcW w:w="992" w:type="dxa"/>
            <w:tcBorders>
              <w:top w:val="nil"/>
              <w:left w:val="nil"/>
              <w:bottom w:val="single" w:sz="4" w:space="0" w:color="auto"/>
              <w:right w:val="single" w:sz="4" w:space="0" w:color="auto"/>
            </w:tcBorders>
            <w:shd w:val="clear" w:color="auto" w:fill="auto"/>
            <w:hideMark/>
          </w:tcPr>
          <w:p w14:paraId="7E851656"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52B6E03F"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662FECE3"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5586FB00"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prob_respiratory_distress_adding_from_empyema</w:t>
            </w:r>
          </w:p>
        </w:tc>
        <w:tc>
          <w:tcPr>
            <w:tcW w:w="3402" w:type="dxa"/>
            <w:tcBorders>
              <w:top w:val="nil"/>
              <w:left w:val="nil"/>
              <w:bottom w:val="single" w:sz="4" w:space="0" w:color="auto"/>
              <w:right w:val="single" w:sz="4" w:space="0" w:color="auto"/>
            </w:tcBorders>
            <w:shd w:val="clear" w:color="auto" w:fill="auto"/>
            <w:hideMark/>
          </w:tcPr>
          <w:p w14:paraId="36581979"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respiratory distress developing due to empyema</w:t>
            </w:r>
          </w:p>
        </w:tc>
        <w:tc>
          <w:tcPr>
            <w:tcW w:w="992" w:type="dxa"/>
            <w:tcBorders>
              <w:top w:val="nil"/>
              <w:left w:val="nil"/>
              <w:bottom w:val="single" w:sz="4" w:space="0" w:color="auto"/>
              <w:right w:val="single" w:sz="4" w:space="0" w:color="auto"/>
            </w:tcBorders>
            <w:shd w:val="clear" w:color="auto" w:fill="auto"/>
            <w:hideMark/>
          </w:tcPr>
          <w:p w14:paraId="6CD61511"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6BF30C68"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6E331D08"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579FAB16"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prob_chest_pain_adding_from_pneumothorax</w:t>
            </w:r>
          </w:p>
        </w:tc>
        <w:tc>
          <w:tcPr>
            <w:tcW w:w="3402" w:type="dxa"/>
            <w:tcBorders>
              <w:top w:val="nil"/>
              <w:left w:val="nil"/>
              <w:bottom w:val="single" w:sz="4" w:space="0" w:color="auto"/>
              <w:right w:val="single" w:sz="4" w:space="0" w:color="auto"/>
            </w:tcBorders>
            <w:shd w:val="clear" w:color="auto" w:fill="auto"/>
            <w:hideMark/>
          </w:tcPr>
          <w:p w14:paraId="2373570A"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chest pain developing due to pneumothorax</w:t>
            </w:r>
          </w:p>
        </w:tc>
        <w:tc>
          <w:tcPr>
            <w:tcW w:w="992" w:type="dxa"/>
            <w:tcBorders>
              <w:top w:val="nil"/>
              <w:left w:val="nil"/>
              <w:bottom w:val="single" w:sz="4" w:space="0" w:color="auto"/>
              <w:right w:val="single" w:sz="4" w:space="0" w:color="auto"/>
            </w:tcBorders>
            <w:shd w:val="clear" w:color="auto" w:fill="auto"/>
            <w:hideMark/>
          </w:tcPr>
          <w:p w14:paraId="1ADEF1A1"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75E85C8A"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5ECACE91"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39EDA255"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prob_cyanosis_adding_from_pneumothorax</w:t>
            </w:r>
          </w:p>
        </w:tc>
        <w:tc>
          <w:tcPr>
            <w:tcW w:w="3402" w:type="dxa"/>
            <w:tcBorders>
              <w:top w:val="nil"/>
              <w:left w:val="nil"/>
              <w:bottom w:val="single" w:sz="4" w:space="0" w:color="auto"/>
              <w:right w:val="single" w:sz="4" w:space="0" w:color="auto"/>
            </w:tcBorders>
            <w:shd w:val="clear" w:color="auto" w:fill="auto"/>
            <w:hideMark/>
          </w:tcPr>
          <w:p w14:paraId="6C797C68"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cyanosis developing due to pneumothorax</w:t>
            </w:r>
          </w:p>
        </w:tc>
        <w:tc>
          <w:tcPr>
            <w:tcW w:w="992" w:type="dxa"/>
            <w:tcBorders>
              <w:top w:val="nil"/>
              <w:left w:val="nil"/>
              <w:bottom w:val="single" w:sz="4" w:space="0" w:color="auto"/>
              <w:right w:val="single" w:sz="4" w:space="0" w:color="auto"/>
            </w:tcBorders>
            <w:shd w:val="clear" w:color="auto" w:fill="auto"/>
            <w:hideMark/>
          </w:tcPr>
          <w:p w14:paraId="0BA68058"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0D966C7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644650C8"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25636E43"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prob_tachycardia_adding_from_pneumothorax</w:t>
            </w:r>
          </w:p>
        </w:tc>
        <w:tc>
          <w:tcPr>
            <w:tcW w:w="3402" w:type="dxa"/>
            <w:tcBorders>
              <w:top w:val="nil"/>
              <w:left w:val="nil"/>
              <w:bottom w:val="single" w:sz="4" w:space="0" w:color="auto"/>
              <w:right w:val="single" w:sz="4" w:space="0" w:color="auto"/>
            </w:tcBorders>
            <w:shd w:val="clear" w:color="auto" w:fill="auto"/>
            <w:hideMark/>
          </w:tcPr>
          <w:p w14:paraId="7289D528"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tachycardia developing due to pneumothorax</w:t>
            </w:r>
          </w:p>
        </w:tc>
        <w:tc>
          <w:tcPr>
            <w:tcW w:w="992" w:type="dxa"/>
            <w:tcBorders>
              <w:top w:val="nil"/>
              <w:left w:val="nil"/>
              <w:bottom w:val="single" w:sz="4" w:space="0" w:color="auto"/>
              <w:right w:val="single" w:sz="4" w:space="0" w:color="auto"/>
            </w:tcBorders>
            <w:shd w:val="clear" w:color="auto" w:fill="auto"/>
            <w:hideMark/>
          </w:tcPr>
          <w:p w14:paraId="2CC3510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5C091A64"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4D96670E"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7895FC6B"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prob_difficult_breathing_adding_from_pneumothorax</w:t>
            </w:r>
          </w:p>
        </w:tc>
        <w:tc>
          <w:tcPr>
            <w:tcW w:w="3402" w:type="dxa"/>
            <w:tcBorders>
              <w:top w:val="nil"/>
              <w:left w:val="nil"/>
              <w:bottom w:val="single" w:sz="4" w:space="0" w:color="auto"/>
              <w:right w:val="single" w:sz="4" w:space="0" w:color="auto"/>
            </w:tcBorders>
            <w:shd w:val="clear" w:color="auto" w:fill="auto"/>
            <w:hideMark/>
          </w:tcPr>
          <w:p w14:paraId="2D018710"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difficulty in breathing developing due to pneumothorax</w:t>
            </w:r>
          </w:p>
        </w:tc>
        <w:tc>
          <w:tcPr>
            <w:tcW w:w="992" w:type="dxa"/>
            <w:tcBorders>
              <w:top w:val="nil"/>
              <w:left w:val="nil"/>
              <w:bottom w:val="single" w:sz="4" w:space="0" w:color="auto"/>
              <w:right w:val="single" w:sz="4" w:space="0" w:color="auto"/>
            </w:tcBorders>
            <w:shd w:val="clear" w:color="auto" w:fill="auto"/>
            <w:hideMark/>
          </w:tcPr>
          <w:p w14:paraId="2EA743C2"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61DF463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669670EB"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1DFC5636"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prob_fatigue_adding_from_pneumothorax</w:t>
            </w:r>
          </w:p>
        </w:tc>
        <w:tc>
          <w:tcPr>
            <w:tcW w:w="3402" w:type="dxa"/>
            <w:tcBorders>
              <w:top w:val="nil"/>
              <w:left w:val="nil"/>
              <w:bottom w:val="single" w:sz="4" w:space="0" w:color="auto"/>
              <w:right w:val="single" w:sz="4" w:space="0" w:color="auto"/>
            </w:tcBorders>
            <w:shd w:val="clear" w:color="auto" w:fill="auto"/>
            <w:hideMark/>
          </w:tcPr>
          <w:p w14:paraId="74840C16"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fatigue developing due to pneumothorax</w:t>
            </w:r>
          </w:p>
        </w:tc>
        <w:tc>
          <w:tcPr>
            <w:tcW w:w="992" w:type="dxa"/>
            <w:tcBorders>
              <w:top w:val="nil"/>
              <w:left w:val="nil"/>
              <w:bottom w:val="single" w:sz="4" w:space="0" w:color="auto"/>
              <w:right w:val="single" w:sz="4" w:space="0" w:color="auto"/>
            </w:tcBorders>
            <w:shd w:val="clear" w:color="auto" w:fill="auto"/>
            <w:hideMark/>
          </w:tcPr>
          <w:p w14:paraId="08D0AA3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481EF47E"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72C624E3"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3476DDD5"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prob_decreased_chest_movement_adding_from_pneumothorax</w:t>
            </w:r>
          </w:p>
        </w:tc>
        <w:tc>
          <w:tcPr>
            <w:tcW w:w="3402" w:type="dxa"/>
            <w:tcBorders>
              <w:top w:val="nil"/>
              <w:left w:val="nil"/>
              <w:bottom w:val="single" w:sz="4" w:space="0" w:color="auto"/>
              <w:right w:val="single" w:sz="4" w:space="0" w:color="auto"/>
            </w:tcBorders>
            <w:shd w:val="clear" w:color="auto" w:fill="auto"/>
            <w:hideMark/>
          </w:tcPr>
          <w:p w14:paraId="4F2914E3"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decreased chest movement due to pneumothorax</w:t>
            </w:r>
          </w:p>
        </w:tc>
        <w:tc>
          <w:tcPr>
            <w:tcW w:w="992" w:type="dxa"/>
            <w:tcBorders>
              <w:top w:val="nil"/>
              <w:left w:val="nil"/>
              <w:bottom w:val="single" w:sz="4" w:space="0" w:color="auto"/>
              <w:right w:val="single" w:sz="4" w:space="0" w:color="auto"/>
            </w:tcBorders>
            <w:shd w:val="clear" w:color="auto" w:fill="auto"/>
            <w:hideMark/>
          </w:tcPr>
          <w:p w14:paraId="76132081"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56D2DF1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2404FFDF"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36821200"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prob_difficult_breathing_adding_from_respiratory_failure</w:t>
            </w:r>
          </w:p>
        </w:tc>
        <w:tc>
          <w:tcPr>
            <w:tcW w:w="3402" w:type="dxa"/>
            <w:tcBorders>
              <w:top w:val="nil"/>
              <w:left w:val="nil"/>
              <w:bottom w:val="single" w:sz="4" w:space="0" w:color="auto"/>
              <w:right w:val="single" w:sz="4" w:space="0" w:color="auto"/>
            </w:tcBorders>
            <w:shd w:val="clear" w:color="auto" w:fill="auto"/>
            <w:hideMark/>
          </w:tcPr>
          <w:p w14:paraId="36F95574"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difficulty in breathing developing due to respiratory failure</w:t>
            </w:r>
          </w:p>
        </w:tc>
        <w:tc>
          <w:tcPr>
            <w:tcW w:w="992" w:type="dxa"/>
            <w:tcBorders>
              <w:top w:val="nil"/>
              <w:left w:val="nil"/>
              <w:bottom w:val="single" w:sz="4" w:space="0" w:color="auto"/>
              <w:right w:val="single" w:sz="4" w:space="0" w:color="auto"/>
            </w:tcBorders>
            <w:shd w:val="clear" w:color="auto" w:fill="auto"/>
            <w:hideMark/>
          </w:tcPr>
          <w:p w14:paraId="1650199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19F340AE"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42BF713D"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6ED8CB60"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prob_cyanosis_adding_from_respiratory_failure</w:t>
            </w:r>
          </w:p>
        </w:tc>
        <w:tc>
          <w:tcPr>
            <w:tcW w:w="3402" w:type="dxa"/>
            <w:tcBorders>
              <w:top w:val="nil"/>
              <w:left w:val="nil"/>
              <w:bottom w:val="single" w:sz="4" w:space="0" w:color="auto"/>
              <w:right w:val="single" w:sz="4" w:space="0" w:color="auto"/>
            </w:tcBorders>
            <w:shd w:val="clear" w:color="auto" w:fill="auto"/>
            <w:hideMark/>
          </w:tcPr>
          <w:p w14:paraId="0DFF1904"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cyanosis developing due to respiratory failure</w:t>
            </w:r>
          </w:p>
        </w:tc>
        <w:tc>
          <w:tcPr>
            <w:tcW w:w="992" w:type="dxa"/>
            <w:tcBorders>
              <w:top w:val="nil"/>
              <w:left w:val="nil"/>
              <w:bottom w:val="single" w:sz="4" w:space="0" w:color="auto"/>
              <w:right w:val="single" w:sz="4" w:space="0" w:color="auto"/>
            </w:tcBorders>
            <w:shd w:val="clear" w:color="auto" w:fill="auto"/>
            <w:hideMark/>
          </w:tcPr>
          <w:p w14:paraId="0E6F5AB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60F8C58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576ACF4F"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456801C8"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prob_tachypnoea_adding_from_respiratory_failure</w:t>
            </w:r>
          </w:p>
        </w:tc>
        <w:tc>
          <w:tcPr>
            <w:tcW w:w="3402" w:type="dxa"/>
            <w:tcBorders>
              <w:top w:val="nil"/>
              <w:left w:val="nil"/>
              <w:bottom w:val="single" w:sz="4" w:space="0" w:color="auto"/>
              <w:right w:val="single" w:sz="4" w:space="0" w:color="auto"/>
            </w:tcBorders>
            <w:shd w:val="clear" w:color="auto" w:fill="auto"/>
            <w:hideMark/>
          </w:tcPr>
          <w:p w14:paraId="42194094"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tachypnoea developing due to respiratory failure</w:t>
            </w:r>
          </w:p>
        </w:tc>
        <w:tc>
          <w:tcPr>
            <w:tcW w:w="992" w:type="dxa"/>
            <w:tcBorders>
              <w:top w:val="nil"/>
              <w:left w:val="nil"/>
              <w:bottom w:val="single" w:sz="4" w:space="0" w:color="auto"/>
              <w:right w:val="single" w:sz="4" w:space="0" w:color="auto"/>
            </w:tcBorders>
            <w:shd w:val="clear" w:color="auto" w:fill="auto"/>
            <w:hideMark/>
          </w:tcPr>
          <w:p w14:paraId="5DCF4F52"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7522E9A8"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56D87533"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379FFE83"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prob_tachycardia_adding_from_respiratory_failure</w:t>
            </w:r>
          </w:p>
        </w:tc>
        <w:tc>
          <w:tcPr>
            <w:tcW w:w="3402" w:type="dxa"/>
            <w:tcBorders>
              <w:top w:val="nil"/>
              <w:left w:val="nil"/>
              <w:bottom w:val="single" w:sz="4" w:space="0" w:color="auto"/>
              <w:right w:val="single" w:sz="4" w:space="0" w:color="auto"/>
            </w:tcBorders>
            <w:shd w:val="clear" w:color="auto" w:fill="auto"/>
            <w:hideMark/>
          </w:tcPr>
          <w:p w14:paraId="0FF3C840"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tachycardia developing due to respiratory failure</w:t>
            </w:r>
          </w:p>
        </w:tc>
        <w:tc>
          <w:tcPr>
            <w:tcW w:w="992" w:type="dxa"/>
            <w:tcBorders>
              <w:top w:val="nil"/>
              <w:left w:val="nil"/>
              <w:bottom w:val="single" w:sz="4" w:space="0" w:color="auto"/>
              <w:right w:val="single" w:sz="4" w:space="0" w:color="auto"/>
            </w:tcBorders>
            <w:shd w:val="clear" w:color="auto" w:fill="auto"/>
            <w:hideMark/>
          </w:tcPr>
          <w:p w14:paraId="1655FEDE"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7C1F464A"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6270C193"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49150A28"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prob_lethargy_adding_from_respiratory_failure</w:t>
            </w:r>
          </w:p>
        </w:tc>
        <w:tc>
          <w:tcPr>
            <w:tcW w:w="3402" w:type="dxa"/>
            <w:tcBorders>
              <w:top w:val="nil"/>
              <w:left w:val="nil"/>
              <w:bottom w:val="single" w:sz="4" w:space="0" w:color="auto"/>
              <w:right w:val="single" w:sz="4" w:space="0" w:color="auto"/>
            </w:tcBorders>
            <w:shd w:val="clear" w:color="auto" w:fill="auto"/>
            <w:hideMark/>
          </w:tcPr>
          <w:p w14:paraId="47337832"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lethargy developing due to respiratory failure</w:t>
            </w:r>
          </w:p>
        </w:tc>
        <w:tc>
          <w:tcPr>
            <w:tcW w:w="992" w:type="dxa"/>
            <w:tcBorders>
              <w:top w:val="nil"/>
              <w:left w:val="nil"/>
              <w:bottom w:val="single" w:sz="4" w:space="0" w:color="auto"/>
              <w:right w:val="single" w:sz="4" w:space="0" w:color="auto"/>
            </w:tcBorders>
            <w:shd w:val="clear" w:color="auto" w:fill="auto"/>
            <w:hideMark/>
          </w:tcPr>
          <w:p w14:paraId="1C9703F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687EC5A2"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6E2BDA08"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1ABF098F"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prob_restlessness_adding_from_respiratory_failure</w:t>
            </w:r>
          </w:p>
        </w:tc>
        <w:tc>
          <w:tcPr>
            <w:tcW w:w="3402" w:type="dxa"/>
            <w:tcBorders>
              <w:top w:val="nil"/>
              <w:left w:val="nil"/>
              <w:bottom w:val="single" w:sz="4" w:space="0" w:color="auto"/>
              <w:right w:val="single" w:sz="4" w:space="0" w:color="auto"/>
            </w:tcBorders>
            <w:shd w:val="clear" w:color="auto" w:fill="auto"/>
            <w:hideMark/>
          </w:tcPr>
          <w:p w14:paraId="2DDE6EAB"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restlessness developing due to respiratory failure</w:t>
            </w:r>
          </w:p>
        </w:tc>
        <w:tc>
          <w:tcPr>
            <w:tcW w:w="992" w:type="dxa"/>
            <w:tcBorders>
              <w:top w:val="nil"/>
              <w:left w:val="nil"/>
              <w:bottom w:val="single" w:sz="4" w:space="0" w:color="auto"/>
              <w:right w:val="single" w:sz="4" w:space="0" w:color="auto"/>
            </w:tcBorders>
            <w:shd w:val="clear" w:color="auto" w:fill="auto"/>
            <w:hideMark/>
          </w:tcPr>
          <w:p w14:paraId="4948670B"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79A5F16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44B2E3AD"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2358536D"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prob_fever_adding_from_sepsis</w:t>
            </w:r>
          </w:p>
        </w:tc>
        <w:tc>
          <w:tcPr>
            <w:tcW w:w="3402" w:type="dxa"/>
            <w:tcBorders>
              <w:top w:val="nil"/>
              <w:left w:val="nil"/>
              <w:bottom w:val="single" w:sz="4" w:space="0" w:color="auto"/>
              <w:right w:val="single" w:sz="4" w:space="0" w:color="auto"/>
            </w:tcBorders>
            <w:shd w:val="clear" w:color="auto" w:fill="auto"/>
            <w:hideMark/>
          </w:tcPr>
          <w:p w14:paraId="0E855371"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fever developing due to sepsis</w:t>
            </w:r>
          </w:p>
        </w:tc>
        <w:tc>
          <w:tcPr>
            <w:tcW w:w="992" w:type="dxa"/>
            <w:tcBorders>
              <w:top w:val="nil"/>
              <w:left w:val="nil"/>
              <w:bottom w:val="single" w:sz="4" w:space="0" w:color="auto"/>
              <w:right w:val="single" w:sz="4" w:space="0" w:color="auto"/>
            </w:tcBorders>
            <w:shd w:val="clear" w:color="auto" w:fill="auto"/>
            <w:hideMark/>
          </w:tcPr>
          <w:p w14:paraId="2BDEDD8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1FE58F3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5F40B8F2"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1DD54961"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prob_fatigue_adding_from_sepsis</w:t>
            </w:r>
          </w:p>
        </w:tc>
        <w:tc>
          <w:tcPr>
            <w:tcW w:w="3402" w:type="dxa"/>
            <w:tcBorders>
              <w:top w:val="nil"/>
              <w:left w:val="nil"/>
              <w:bottom w:val="single" w:sz="4" w:space="0" w:color="auto"/>
              <w:right w:val="single" w:sz="4" w:space="0" w:color="auto"/>
            </w:tcBorders>
            <w:shd w:val="clear" w:color="auto" w:fill="auto"/>
            <w:hideMark/>
          </w:tcPr>
          <w:p w14:paraId="1A6CC670"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fatigue developing due to sepsis</w:t>
            </w:r>
          </w:p>
        </w:tc>
        <w:tc>
          <w:tcPr>
            <w:tcW w:w="992" w:type="dxa"/>
            <w:tcBorders>
              <w:top w:val="nil"/>
              <w:left w:val="nil"/>
              <w:bottom w:val="single" w:sz="4" w:space="0" w:color="auto"/>
              <w:right w:val="single" w:sz="4" w:space="0" w:color="auto"/>
            </w:tcBorders>
            <w:shd w:val="clear" w:color="auto" w:fill="auto"/>
            <w:hideMark/>
          </w:tcPr>
          <w:p w14:paraId="5A057301"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1E19CFA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505E8DC7"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51041659"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prob_tachypnoea_adding_from_sepsis</w:t>
            </w:r>
          </w:p>
        </w:tc>
        <w:tc>
          <w:tcPr>
            <w:tcW w:w="3402" w:type="dxa"/>
            <w:tcBorders>
              <w:top w:val="nil"/>
              <w:left w:val="nil"/>
              <w:bottom w:val="single" w:sz="4" w:space="0" w:color="auto"/>
              <w:right w:val="single" w:sz="4" w:space="0" w:color="auto"/>
            </w:tcBorders>
            <w:shd w:val="clear" w:color="auto" w:fill="auto"/>
            <w:hideMark/>
          </w:tcPr>
          <w:p w14:paraId="24DA2688"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tachypnoea developing due to sepsis</w:t>
            </w:r>
          </w:p>
        </w:tc>
        <w:tc>
          <w:tcPr>
            <w:tcW w:w="992" w:type="dxa"/>
            <w:tcBorders>
              <w:top w:val="nil"/>
              <w:left w:val="nil"/>
              <w:bottom w:val="single" w:sz="4" w:space="0" w:color="auto"/>
              <w:right w:val="single" w:sz="4" w:space="0" w:color="auto"/>
            </w:tcBorders>
            <w:shd w:val="clear" w:color="auto" w:fill="auto"/>
            <w:hideMark/>
          </w:tcPr>
          <w:p w14:paraId="6004ECD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37FF189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5E7F5EB7"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5671E4FB"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prob_lethargy_adding_from_sepsis</w:t>
            </w:r>
          </w:p>
        </w:tc>
        <w:tc>
          <w:tcPr>
            <w:tcW w:w="3402" w:type="dxa"/>
            <w:tcBorders>
              <w:top w:val="nil"/>
              <w:left w:val="nil"/>
              <w:bottom w:val="single" w:sz="4" w:space="0" w:color="auto"/>
              <w:right w:val="single" w:sz="4" w:space="0" w:color="auto"/>
            </w:tcBorders>
            <w:shd w:val="clear" w:color="auto" w:fill="auto"/>
            <w:hideMark/>
          </w:tcPr>
          <w:p w14:paraId="6A6A5B48"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lethargy developing due to sepsis</w:t>
            </w:r>
          </w:p>
        </w:tc>
        <w:tc>
          <w:tcPr>
            <w:tcW w:w="992" w:type="dxa"/>
            <w:tcBorders>
              <w:top w:val="nil"/>
              <w:left w:val="nil"/>
              <w:bottom w:val="single" w:sz="4" w:space="0" w:color="auto"/>
              <w:right w:val="single" w:sz="4" w:space="0" w:color="auto"/>
            </w:tcBorders>
            <w:shd w:val="clear" w:color="auto" w:fill="auto"/>
            <w:hideMark/>
          </w:tcPr>
          <w:p w14:paraId="0D3CBACB"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6DD6A4DB"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06A6A4D9"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576187BE"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prob_convulsions_adding_from_sepsis</w:t>
            </w:r>
          </w:p>
        </w:tc>
        <w:tc>
          <w:tcPr>
            <w:tcW w:w="3402" w:type="dxa"/>
            <w:tcBorders>
              <w:top w:val="nil"/>
              <w:left w:val="nil"/>
              <w:bottom w:val="single" w:sz="4" w:space="0" w:color="auto"/>
              <w:right w:val="single" w:sz="4" w:space="0" w:color="auto"/>
            </w:tcBorders>
            <w:shd w:val="clear" w:color="auto" w:fill="auto"/>
            <w:hideMark/>
          </w:tcPr>
          <w:p w14:paraId="53A16820"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convulsions developing due to sepsis</w:t>
            </w:r>
          </w:p>
        </w:tc>
        <w:tc>
          <w:tcPr>
            <w:tcW w:w="992" w:type="dxa"/>
            <w:tcBorders>
              <w:top w:val="nil"/>
              <w:left w:val="nil"/>
              <w:bottom w:val="single" w:sz="4" w:space="0" w:color="auto"/>
              <w:right w:val="single" w:sz="4" w:space="0" w:color="auto"/>
            </w:tcBorders>
            <w:shd w:val="clear" w:color="auto" w:fill="auto"/>
            <w:hideMark/>
          </w:tcPr>
          <w:p w14:paraId="7224873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7E65136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33B29BE6"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420EDC7E"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prob_not_eating_adding_from_sepsis</w:t>
            </w:r>
          </w:p>
        </w:tc>
        <w:tc>
          <w:tcPr>
            <w:tcW w:w="3402" w:type="dxa"/>
            <w:tcBorders>
              <w:top w:val="nil"/>
              <w:left w:val="nil"/>
              <w:bottom w:val="single" w:sz="4" w:space="0" w:color="auto"/>
              <w:right w:val="single" w:sz="4" w:space="0" w:color="auto"/>
            </w:tcBorders>
            <w:shd w:val="clear" w:color="auto" w:fill="auto"/>
            <w:hideMark/>
          </w:tcPr>
          <w:p w14:paraId="4F2DA870"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not eating developing due to sepsis</w:t>
            </w:r>
          </w:p>
        </w:tc>
        <w:tc>
          <w:tcPr>
            <w:tcW w:w="992" w:type="dxa"/>
            <w:tcBorders>
              <w:top w:val="nil"/>
              <w:left w:val="nil"/>
              <w:bottom w:val="single" w:sz="4" w:space="0" w:color="auto"/>
              <w:right w:val="single" w:sz="4" w:space="0" w:color="auto"/>
            </w:tcBorders>
            <w:shd w:val="clear" w:color="auto" w:fill="auto"/>
            <w:hideMark/>
          </w:tcPr>
          <w:p w14:paraId="25A3A249"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11959CF2"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13C08604"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661391EE"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prob_vomiting_adding_from_sepsis</w:t>
            </w:r>
          </w:p>
        </w:tc>
        <w:tc>
          <w:tcPr>
            <w:tcW w:w="3402" w:type="dxa"/>
            <w:tcBorders>
              <w:top w:val="nil"/>
              <w:left w:val="nil"/>
              <w:bottom w:val="single" w:sz="4" w:space="0" w:color="auto"/>
              <w:right w:val="single" w:sz="4" w:space="0" w:color="auto"/>
            </w:tcBorders>
            <w:shd w:val="clear" w:color="auto" w:fill="auto"/>
            <w:hideMark/>
          </w:tcPr>
          <w:p w14:paraId="17D24D53"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vomiting developing due to sepsis</w:t>
            </w:r>
          </w:p>
        </w:tc>
        <w:tc>
          <w:tcPr>
            <w:tcW w:w="992" w:type="dxa"/>
            <w:tcBorders>
              <w:top w:val="nil"/>
              <w:left w:val="nil"/>
              <w:bottom w:val="single" w:sz="4" w:space="0" w:color="auto"/>
              <w:right w:val="single" w:sz="4" w:space="0" w:color="auto"/>
            </w:tcBorders>
            <w:shd w:val="clear" w:color="auto" w:fill="auto"/>
            <w:hideMark/>
          </w:tcPr>
          <w:p w14:paraId="79ED3846"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1C94CE71"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19B7B926"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5BE20D6F"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prob_no_urination_in_last_12h_adding_from_sepsis</w:t>
            </w:r>
          </w:p>
        </w:tc>
        <w:tc>
          <w:tcPr>
            <w:tcW w:w="3402" w:type="dxa"/>
            <w:tcBorders>
              <w:top w:val="nil"/>
              <w:left w:val="nil"/>
              <w:bottom w:val="single" w:sz="4" w:space="0" w:color="auto"/>
              <w:right w:val="single" w:sz="4" w:space="0" w:color="auto"/>
            </w:tcBorders>
            <w:shd w:val="clear" w:color="auto" w:fill="auto"/>
            <w:hideMark/>
          </w:tcPr>
          <w:p w14:paraId="0A2A4E31"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no urination in 12h due to sepsis</w:t>
            </w:r>
          </w:p>
        </w:tc>
        <w:tc>
          <w:tcPr>
            <w:tcW w:w="992" w:type="dxa"/>
            <w:tcBorders>
              <w:top w:val="nil"/>
              <w:left w:val="nil"/>
              <w:bottom w:val="single" w:sz="4" w:space="0" w:color="auto"/>
              <w:right w:val="single" w:sz="4" w:space="0" w:color="auto"/>
            </w:tcBorders>
            <w:shd w:val="clear" w:color="auto" w:fill="auto"/>
            <w:hideMark/>
          </w:tcPr>
          <w:p w14:paraId="140672B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566C7455"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4A3F7450"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3846993B"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lastRenderedPageBreak/>
              <w:t>prob_headache_adding_from_meningitis</w:t>
            </w:r>
          </w:p>
        </w:tc>
        <w:tc>
          <w:tcPr>
            <w:tcW w:w="3402" w:type="dxa"/>
            <w:tcBorders>
              <w:top w:val="nil"/>
              <w:left w:val="nil"/>
              <w:bottom w:val="single" w:sz="4" w:space="0" w:color="auto"/>
              <w:right w:val="single" w:sz="4" w:space="0" w:color="auto"/>
            </w:tcBorders>
            <w:shd w:val="clear" w:color="auto" w:fill="auto"/>
            <w:hideMark/>
          </w:tcPr>
          <w:p w14:paraId="07714FA4"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headache developing due to meningitis</w:t>
            </w:r>
          </w:p>
        </w:tc>
        <w:tc>
          <w:tcPr>
            <w:tcW w:w="992" w:type="dxa"/>
            <w:tcBorders>
              <w:top w:val="nil"/>
              <w:left w:val="nil"/>
              <w:bottom w:val="single" w:sz="4" w:space="0" w:color="auto"/>
              <w:right w:val="single" w:sz="4" w:space="0" w:color="auto"/>
            </w:tcBorders>
            <w:shd w:val="clear" w:color="auto" w:fill="auto"/>
            <w:hideMark/>
          </w:tcPr>
          <w:p w14:paraId="21090CF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73421C2A"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03E6128D"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7F5E010B"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prob_fever_adding_from_meningitis</w:t>
            </w:r>
          </w:p>
        </w:tc>
        <w:tc>
          <w:tcPr>
            <w:tcW w:w="3402" w:type="dxa"/>
            <w:tcBorders>
              <w:top w:val="nil"/>
              <w:left w:val="nil"/>
              <w:bottom w:val="single" w:sz="4" w:space="0" w:color="auto"/>
              <w:right w:val="single" w:sz="4" w:space="0" w:color="auto"/>
            </w:tcBorders>
            <w:shd w:val="clear" w:color="auto" w:fill="auto"/>
            <w:hideMark/>
          </w:tcPr>
          <w:p w14:paraId="545AF6FC"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fever developing due to meningitis</w:t>
            </w:r>
          </w:p>
        </w:tc>
        <w:tc>
          <w:tcPr>
            <w:tcW w:w="992" w:type="dxa"/>
            <w:tcBorders>
              <w:top w:val="nil"/>
              <w:left w:val="nil"/>
              <w:bottom w:val="single" w:sz="4" w:space="0" w:color="auto"/>
              <w:right w:val="single" w:sz="4" w:space="0" w:color="auto"/>
            </w:tcBorders>
            <w:shd w:val="clear" w:color="auto" w:fill="auto"/>
            <w:hideMark/>
          </w:tcPr>
          <w:p w14:paraId="40C20248"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6DDE4ABC"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133055D3"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2C624F44"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prob_bulging_fontanel_adding_from_meningitis</w:t>
            </w:r>
          </w:p>
        </w:tc>
        <w:tc>
          <w:tcPr>
            <w:tcW w:w="3402" w:type="dxa"/>
            <w:tcBorders>
              <w:top w:val="nil"/>
              <w:left w:val="nil"/>
              <w:bottom w:val="single" w:sz="4" w:space="0" w:color="auto"/>
              <w:right w:val="single" w:sz="4" w:space="0" w:color="auto"/>
            </w:tcBorders>
            <w:shd w:val="clear" w:color="auto" w:fill="auto"/>
            <w:hideMark/>
          </w:tcPr>
          <w:p w14:paraId="5287A557"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bulging fontanel developing due to meningitis</w:t>
            </w:r>
          </w:p>
        </w:tc>
        <w:tc>
          <w:tcPr>
            <w:tcW w:w="992" w:type="dxa"/>
            <w:tcBorders>
              <w:top w:val="nil"/>
              <w:left w:val="nil"/>
              <w:bottom w:val="single" w:sz="4" w:space="0" w:color="auto"/>
              <w:right w:val="single" w:sz="4" w:space="0" w:color="auto"/>
            </w:tcBorders>
            <w:shd w:val="clear" w:color="auto" w:fill="auto"/>
            <w:hideMark/>
          </w:tcPr>
          <w:p w14:paraId="38DED8F1"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5835635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5A735038"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40593DFE"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prob_convulsions_adding_from_meningitis</w:t>
            </w:r>
          </w:p>
        </w:tc>
        <w:tc>
          <w:tcPr>
            <w:tcW w:w="3402" w:type="dxa"/>
            <w:tcBorders>
              <w:top w:val="nil"/>
              <w:left w:val="nil"/>
              <w:bottom w:val="single" w:sz="4" w:space="0" w:color="auto"/>
              <w:right w:val="single" w:sz="4" w:space="0" w:color="auto"/>
            </w:tcBorders>
            <w:shd w:val="clear" w:color="auto" w:fill="auto"/>
            <w:hideMark/>
          </w:tcPr>
          <w:p w14:paraId="3AAC17E9"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convulsions developing due to meningitis</w:t>
            </w:r>
          </w:p>
        </w:tc>
        <w:tc>
          <w:tcPr>
            <w:tcW w:w="992" w:type="dxa"/>
            <w:tcBorders>
              <w:top w:val="nil"/>
              <w:left w:val="nil"/>
              <w:bottom w:val="single" w:sz="4" w:space="0" w:color="auto"/>
              <w:right w:val="single" w:sz="4" w:space="0" w:color="auto"/>
            </w:tcBorders>
            <w:shd w:val="clear" w:color="auto" w:fill="auto"/>
            <w:hideMark/>
          </w:tcPr>
          <w:p w14:paraId="771E08E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564970A5"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0C1DB760"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14D94BDD"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prob_nausea_adding_from_meningitis</w:t>
            </w:r>
          </w:p>
        </w:tc>
        <w:tc>
          <w:tcPr>
            <w:tcW w:w="3402" w:type="dxa"/>
            <w:tcBorders>
              <w:top w:val="nil"/>
              <w:left w:val="nil"/>
              <w:bottom w:val="single" w:sz="4" w:space="0" w:color="auto"/>
              <w:right w:val="single" w:sz="4" w:space="0" w:color="auto"/>
            </w:tcBorders>
            <w:shd w:val="clear" w:color="auto" w:fill="auto"/>
            <w:hideMark/>
          </w:tcPr>
          <w:p w14:paraId="6F4016C1"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nausea developing due to meningitis</w:t>
            </w:r>
          </w:p>
        </w:tc>
        <w:tc>
          <w:tcPr>
            <w:tcW w:w="992" w:type="dxa"/>
            <w:tcBorders>
              <w:top w:val="nil"/>
              <w:left w:val="nil"/>
              <w:bottom w:val="single" w:sz="4" w:space="0" w:color="auto"/>
              <w:right w:val="single" w:sz="4" w:space="0" w:color="auto"/>
            </w:tcBorders>
            <w:shd w:val="clear" w:color="auto" w:fill="auto"/>
            <w:hideMark/>
          </w:tcPr>
          <w:p w14:paraId="08B5D02B"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41FFC462"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77790710"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6B109432"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prob_vomiting_adding_from_meningitis</w:t>
            </w:r>
          </w:p>
        </w:tc>
        <w:tc>
          <w:tcPr>
            <w:tcW w:w="3402" w:type="dxa"/>
            <w:tcBorders>
              <w:top w:val="nil"/>
              <w:left w:val="nil"/>
              <w:bottom w:val="single" w:sz="4" w:space="0" w:color="auto"/>
              <w:right w:val="single" w:sz="4" w:space="0" w:color="auto"/>
            </w:tcBorders>
            <w:shd w:val="clear" w:color="auto" w:fill="auto"/>
            <w:hideMark/>
          </w:tcPr>
          <w:p w14:paraId="76123673"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vomiting developing due to meningitis</w:t>
            </w:r>
          </w:p>
        </w:tc>
        <w:tc>
          <w:tcPr>
            <w:tcW w:w="992" w:type="dxa"/>
            <w:tcBorders>
              <w:top w:val="nil"/>
              <w:left w:val="nil"/>
              <w:bottom w:val="single" w:sz="4" w:space="0" w:color="auto"/>
              <w:right w:val="single" w:sz="4" w:space="0" w:color="auto"/>
            </w:tcBorders>
            <w:shd w:val="clear" w:color="auto" w:fill="auto"/>
            <w:hideMark/>
          </w:tcPr>
          <w:p w14:paraId="33BFD662"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61904A2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572891EF"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7910F5A8"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prob_photophobia_adding_from_meningitis</w:t>
            </w:r>
          </w:p>
        </w:tc>
        <w:tc>
          <w:tcPr>
            <w:tcW w:w="3402" w:type="dxa"/>
            <w:tcBorders>
              <w:top w:val="nil"/>
              <w:left w:val="nil"/>
              <w:bottom w:val="single" w:sz="4" w:space="0" w:color="auto"/>
              <w:right w:val="single" w:sz="4" w:space="0" w:color="auto"/>
            </w:tcBorders>
            <w:shd w:val="clear" w:color="auto" w:fill="auto"/>
            <w:hideMark/>
          </w:tcPr>
          <w:p w14:paraId="1AAD302F"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photophobia developing due to meningitis</w:t>
            </w:r>
          </w:p>
        </w:tc>
        <w:tc>
          <w:tcPr>
            <w:tcW w:w="992" w:type="dxa"/>
            <w:tcBorders>
              <w:top w:val="nil"/>
              <w:left w:val="nil"/>
              <w:bottom w:val="single" w:sz="4" w:space="0" w:color="auto"/>
              <w:right w:val="single" w:sz="4" w:space="0" w:color="auto"/>
            </w:tcBorders>
            <w:shd w:val="clear" w:color="auto" w:fill="auto"/>
            <w:hideMark/>
          </w:tcPr>
          <w:p w14:paraId="011E422F"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00DDC704"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35E598D2" w14:textId="77777777" w:rsidTr="000979B2">
        <w:trPr>
          <w:trHeight w:val="500"/>
        </w:trPr>
        <w:tc>
          <w:tcPr>
            <w:tcW w:w="2542" w:type="dxa"/>
            <w:tcBorders>
              <w:top w:val="nil"/>
              <w:left w:val="single" w:sz="4" w:space="0" w:color="auto"/>
              <w:bottom w:val="single" w:sz="4" w:space="0" w:color="auto"/>
              <w:right w:val="single" w:sz="4" w:space="0" w:color="auto"/>
            </w:tcBorders>
            <w:shd w:val="clear" w:color="auto" w:fill="auto"/>
            <w:hideMark/>
          </w:tcPr>
          <w:p w14:paraId="4A736CFA"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prob_nuchal_rigidity_adding_from_meningitis</w:t>
            </w:r>
          </w:p>
        </w:tc>
        <w:tc>
          <w:tcPr>
            <w:tcW w:w="3402" w:type="dxa"/>
            <w:tcBorders>
              <w:top w:val="nil"/>
              <w:left w:val="nil"/>
              <w:bottom w:val="single" w:sz="4" w:space="0" w:color="auto"/>
              <w:right w:val="single" w:sz="4" w:space="0" w:color="auto"/>
            </w:tcBorders>
            <w:shd w:val="clear" w:color="auto" w:fill="auto"/>
            <w:hideMark/>
          </w:tcPr>
          <w:p w14:paraId="49289AAC" w14:textId="77777777" w:rsidR="000979B2" w:rsidRPr="002515AD" w:rsidRDefault="000979B2" w:rsidP="000979B2">
            <w:pPr>
              <w:spacing w:after="0" w:line="240" w:lineRule="auto"/>
              <w:ind w:firstLine="0"/>
              <w:contextualSpacing w:val="0"/>
              <w:jc w:val="left"/>
              <w:rPr>
                <w:rFonts w:eastAsia="Times New Roman" w:cs="Arial"/>
                <w:sz w:val="20"/>
                <w:szCs w:val="20"/>
                <w:lang w:eastAsia="en-GB"/>
              </w:rPr>
            </w:pPr>
            <w:r w:rsidRPr="002515AD">
              <w:rPr>
                <w:rFonts w:eastAsia="Times New Roman" w:cs="Arial"/>
                <w:sz w:val="20"/>
                <w:szCs w:val="20"/>
                <w:lang w:eastAsia="en-GB"/>
              </w:rPr>
              <w:t>probability of nuchal rigidity developing due to meningitis</w:t>
            </w:r>
          </w:p>
        </w:tc>
        <w:tc>
          <w:tcPr>
            <w:tcW w:w="992" w:type="dxa"/>
            <w:tcBorders>
              <w:top w:val="nil"/>
              <w:left w:val="nil"/>
              <w:bottom w:val="single" w:sz="4" w:space="0" w:color="auto"/>
              <w:right w:val="single" w:sz="4" w:space="0" w:color="auto"/>
            </w:tcBorders>
            <w:shd w:val="clear" w:color="auto" w:fill="auto"/>
            <w:hideMark/>
          </w:tcPr>
          <w:p w14:paraId="35C288E2"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0.8</w:t>
            </w:r>
          </w:p>
        </w:tc>
        <w:tc>
          <w:tcPr>
            <w:tcW w:w="3355" w:type="dxa"/>
            <w:tcBorders>
              <w:top w:val="nil"/>
              <w:left w:val="nil"/>
              <w:bottom w:val="single" w:sz="4" w:space="0" w:color="auto"/>
              <w:right w:val="single" w:sz="4" w:space="0" w:color="auto"/>
            </w:tcBorders>
            <w:shd w:val="clear" w:color="auto" w:fill="auto"/>
            <w:hideMark/>
          </w:tcPr>
          <w:p w14:paraId="030A1C20"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455ADD4D"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hideMark/>
          </w:tcPr>
          <w:p w14:paraId="442475AD"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prob_of_cure_for_uncomplicated_pneumonia_given_IMCI_pneumonia_treatment</w:t>
            </w:r>
          </w:p>
        </w:tc>
        <w:tc>
          <w:tcPr>
            <w:tcW w:w="3402" w:type="dxa"/>
            <w:tcBorders>
              <w:top w:val="nil"/>
              <w:left w:val="nil"/>
              <w:bottom w:val="single" w:sz="4" w:space="0" w:color="auto"/>
              <w:right w:val="single" w:sz="4" w:space="0" w:color="auto"/>
            </w:tcBorders>
            <w:shd w:val="clear" w:color="auto" w:fill="auto"/>
            <w:hideMark/>
          </w:tcPr>
          <w:p w14:paraId="45C33FF8"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cure for uncomplicated ALRI given IMCI pneumonia treatment</w:t>
            </w:r>
          </w:p>
        </w:tc>
        <w:tc>
          <w:tcPr>
            <w:tcW w:w="992" w:type="dxa"/>
            <w:tcBorders>
              <w:top w:val="nil"/>
              <w:left w:val="nil"/>
              <w:bottom w:val="single" w:sz="4" w:space="0" w:color="auto"/>
              <w:right w:val="single" w:sz="4" w:space="0" w:color="auto"/>
            </w:tcBorders>
            <w:shd w:val="clear" w:color="auto" w:fill="auto"/>
            <w:hideMark/>
          </w:tcPr>
          <w:p w14:paraId="6E79E9E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0.9</w:t>
            </w:r>
          </w:p>
        </w:tc>
        <w:tc>
          <w:tcPr>
            <w:tcW w:w="3355" w:type="dxa"/>
            <w:tcBorders>
              <w:top w:val="nil"/>
              <w:left w:val="nil"/>
              <w:bottom w:val="single" w:sz="4" w:space="0" w:color="auto"/>
              <w:right w:val="single" w:sz="4" w:space="0" w:color="auto"/>
            </w:tcBorders>
            <w:shd w:val="clear" w:color="auto" w:fill="auto"/>
            <w:hideMark/>
          </w:tcPr>
          <w:p w14:paraId="56102B52"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11F37641" w14:textId="77777777" w:rsidTr="000979B2">
        <w:trPr>
          <w:trHeight w:val="770"/>
        </w:trPr>
        <w:tc>
          <w:tcPr>
            <w:tcW w:w="2542" w:type="dxa"/>
            <w:tcBorders>
              <w:top w:val="nil"/>
              <w:left w:val="single" w:sz="4" w:space="0" w:color="auto"/>
              <w:bottom w:val="single" w:sz="4" w:space="0" w:color="auto"/>
              <w:right w:val="single" w:sz="4" w:space="0" w:color="auto"/>
            </w:tcBorders>
            <w:shd w:val="clear" w:color="auto" w:fill="auto"/>
            <w:vAlign w:val="bottom"/>
            <w:hideMark/>
          </w:tcPr>
          <w:p w14:paraId="49E8BE1F"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prob_of_cure_for_pneumonia_with_severe_complication_given_IMCI_severe_pneumonia_treatment</w:t>
            </w:r>
          </w:p>
        </w:tc>
        <w:tc>
          <w:tcPr>
            <w:tcW w:w="3402" w:type="dxa"/>
            <w:tcBorders>
              <w:top w:val="nil"/>
              <w:left w:val="nil"/>
              <w:bottom w:val="single" w:sz="4" w:space="0" w:color="auto"/>
              <w:right w:val="single" w:sz="4" w:space="0" w:color="auto"/>
            </w:tcBorders>
            <w:shd w:val="clear" w:color="auto" w:fill="auto"/>
            <w:hideMark/>
          </w:tcPr>
          <w:p w14:paraId="00D27B5D"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cure for ALRI with severe complications given IMCI pneumonia treatment</w:t>
            </w:r>
          </w:p>
        </w:tc>
        <w:tc>
          <w:tcPr>
            <w:tcW w:w="992" w:type="dxa"/>
            <w:tcBorders>
              <w:top w:val="nil"/>
              <w:left w:val="nil"/>
              <w:bottom w:val="single" w:sz="4" w:space="0" w:color="auto"/>
              <w:right w:val="single" w:sz="4" w:space="0" w:color="auto"/>
            </w:tcBorders>
            <w:shd w:val="clear" w:color="auto" w:fill="auto"/>
            <w:hideMark/>
          </w:tcPr>
          <w:p w14:paraId="25D358EE"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0.9</w:t>
            </w:r>
          </w:p>
        </w:tc>
        <w:tc>
          <w:tcPr>
            <w:tcW w:w="3355" w:type="dxa"/>
            <w:tcBorders>
              <w:top w:val="nil"/>
              <w:left w:val="nil"/>
              <w:bottom w:val="single" w:sz="4" w:space="0" w:color="auto"/>
              <w:right w:val="single" w:sz="4" w:space="0" w:color="auto"/>
            </w:tcBorders>
            <w:shd w:val="clear" w:color="auto" w:fill="auto"/>
            <w:hideMark/>
          </w:tcPr>
          <w:p w14:paraId="38077A81"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r w:rsidR="000979B2" w:rsidRPr="002515AD" w14:paraId="059C6A84" w14:textId="77777777" w:rsidTr="000979B2">
        <w:trPr>
          <w:trHeight w:val="750"/>
        </w:trPr>
        <w:tc>
          <w:tcPr>
            <w:tcW w:w="2542" w:type="dxa"/>
            <w:tcBorders>
              <w:top w:val="nil"/>
              <w:left w:val="single" w:sz="4" w:space="0" w:color="auto"/>
              <w:bottom w:val="single" w:sz="4" w:space="0" w:color="auto"/>
              <w:right w:val="single" w:sz="4" w:space="0" w:color="auto"/>
            </w:tcBorders>
            <w:shd w:val="clear" w:color="auto" w:fill="auto"/>
            <w:vAlign w:val="bottom"/>
            <w:hideMark/>
          </w:tcPr>
          <w:p w14:paraId="440C4D11" w14:textId="77777777" w:rsidR="000979B2" w:rsidRPr="002515AD" w:rsidRDefault="000979B2" w:rsidP="000979B2">
            <w:pPr>
              <w:spacing w:after="0" w:line="240" w:lineRule="auto"/>
              <w:ind w:firstLine="0"/>
              <w:contextualSpacing w:val="0"/>
              <w:jc w:val="left"/>
              <w:rPr>
                <w:rFonts w:eastAsia="Times New Roman" w:cs="Arial"/>
                <w:b/>
                <w:color w:val="000000"/>
                <w:sz w:val="20"/>
                <w:szCs w:val="20"/>
                <w:lang w:eastAsia="en-GB"/>
              </w:rPr>
            </w:pPr>
            <w:r w:rsidRPr="002515AD">
              <w:rPr>
                <w:rFonts w:eastAsia="Times New Roman" w:cs="Arial"/>
                <w:b/>
                <w:color w:val="000000"/>
                <w:sz w:val="20"/>
                <w:szCs w:val="20"/>
                <w:lang w:eastAsia="en-GB"/>
              </w:rPr>
              <w:t>prob_seek_follow_up_care_after_treatment_failure</w:t>
            </w:r>
          </w:p>
        </w:tc>
        <w:tc>
          <w:tcPr>
            <w:tcW w:w="3402" w:type="dxa"/>
            <w:tcBorders>
              <w:top w:val="nil"/>
              <w:left w:val="nil"/>
              <w:bottom w:val="single" w:sz="4" w:space="0" w:color="auto"/>
              <w:right w:val="single" w:sz="4" w:space="0" w:color="auto"/>
            </w:tcBorders>
            <w:shd w:val="clear" w:color="auto" w:fill="auto"/>
            <w:hideMark/>
          </w:tcPr>
          <w:p w14:paraId="26F55A85"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probability of seeking care following treatment failure and child's condition not improving</w:t>
            </w:r>
          </w:p>
        </w:tc>
        <w:tc>
          <w:tcPr>
            <w:tcW w:w="992" w:type="dxa"/>
            <w:tcBorders>
              <w:top w:val="nil"/>
              <w:left w:val="nil"/>
              <w:bottom w:val="single" w:sz="4" w:space="0" w:color="auto"/>
              <w:right w:val="single" w:sz="4" w:space="0" w:color="auto"/>
            </w:tcBorders>
            <w:shd w:val="clear" w:color="auto" w:fill="auto"/>
            <w:hideMark/>
          </w:tcPr>
          <w:p w14:paraId="2D9E75E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0.6</w:t>
            </w:r>
          </w:p>
        </w:tc>
        <w:tc>
          <w:tcPr>
            <w:tcW w:w="3355" w:type="dxa"/>
            <w:tcBorders>
              <w:top w:val="nil"/>
              <w:left w:val="nil"/>
              <w:bottom w:val="single" w:sz="4" w:space="0" w:color="auto"/>
              <w:right w:val="single" w:sz="4" w:space="0" w:color="auto"/>
            </w:tcBorders>
            <w:shd w:val="clear" w:color="auto" w:fill="auto"/>
            <w:hideMark/>
          </w:tcPr>
          <w:p w14:paraId="331D4993" w14:textId="77777777" w:rsidR="000979B2" w:rsidRPr="002515AD" w:rsidRDefault="000979B2" w:rsidP="000979B2">
            <w:pPr>
              <w:spacing w:after="0" w:line="240" w:lineRule="auto"/>
              <w:ind w:firstLine="0"/>
              <w:contextualSpacing w:val="0"/>
              <w:jc w:val="left"/>
              <w:rPr>
                <w:rFonts w:eastAsia="Times New Roman" w:cs="Arial"/>
                <w:color w:val="000000"/>
                <w:sz w:val="20"/>
                <w:szCs w:val="20"/>
                <w:lang w:eastAsia="en-GB"/>
              </w:rPr>
            </w:pPr>
            <w:r w:rsidRPr="002515AD">
              <w:rPr>
                <w:rFonts w:eastAsia="Times New Roman" w:cs="Arial"/>
                <w:color w:val="000000"/>
                <w:sz w:val="20"/>
                <w:szCs w:val="20"/>
                <w:lang w:eastAsia="en-GB"/>
              </w:rPr>
              <w:t>dummy value</w:t>
            </w:r>
          </w:p>
        </w:tc>
      </w:tr>
    </w:tbl>
    <w:p w14:paraId="5CAF02D3" w14:textId="77777777" w:rsidR="000979B2" w:rsidRDefault="000979B2" w:rsidP="000979B2">
      <w:pPr>
        <w:pStyle w:val="NoSpacing"/>
        <w:rPr>
          <w:sz w:val="19"/>
          <w:szCs w:val="19"/>
        </w:rPr>
      </w:pPr>
      <w:r w:rsidRPr="003A09E6">
        <w:rPr>
          <w:sz w:val="19"/>
          <w:szCs w:val="19"/>
        </w:rPr>
        <w:t>Currently ALRI estimates are for post-neonatal children, neonatal pneumonia has a distinct epidemiology and aetiology, which will be added to the model.</w:t>
      </w:r>
    </w:p>
    <w:p w14:paraId="410C2D52" w14:textId="77777777" w:rsidR="000979B2" w:rsidRPr="00BF5F97" w:rsidRDefault="000979B2" w:rsidP="000979B2">
      <w:pPr>
        <w:pStyle w:val="NoSpacing"/>
        <w:rPr>
          <w:sz w:val="19"/>
          <w:szCs w:val="19"/>
        </w:rPr>
      </w:pPr>
    </w:p>
    <w:p w14:paraId="0B33865F" w14:textId="77777777" w:rsidR="000979B2" w:rsidRDefault="000979B2" w:rsidP="000979B2">
      <w:pPr>
        <w:pStyle w:val="Heading3"/>
      </w:pPr>
      <w:bookmarkStart w:id="13" w:name="_Toc49847086"/>
      <w:bookmarkStart w:id="14" w:name="_Toc64288809"/>
      <w:r w:rsidRPr="008C48FF">
        <w:t>Limitations</w:t>
      </w:r>
      <w:r>
        <w:t xml:space="preserve"> in the design of ALRI model concept</w:t>
      </w:r>
      <w:bookmarkEnd w:id="13"/>
      <w:bookmarkEnd w:id="14"/>
    </w:p>
    <w:p w14:paraId="52B6AD59" w14:textId="77777777" w:rsidR="000979B2" w:rsidRDefault="000979B2" w:rsidP="000979B2">
      <w:r>
        <w:t>The complex pathogenesis of respiratory tract infections, as well as the clinical overlap between them present major challenges in conceptualising a natural history model of specific diseases of ALRIs. In addition, the lack of a gold-standard case definition and classification systems of pneumonia</w:t>
      </w:r>
      <w:r>
        <w:rPr>
          <w:color w:val="000000"/>
          <w:shd w:val="clear" w:color="auto" w:fill="FFFFFF"/>
        </w:rPr>
        <w:fldChar w:fldCharType="begin" w:fldLock="1"/>
      </w:r>
      <w:r>
        <w:rPr>
          <w:color w:val="000000"/>
          <w:shd w:val="clear" w:color="auto" w:fill="FFFFFF"/>
        </w:rPr>
        <w:instrText>ADDIN CSL_CITATION {"citationItems":[{"id":"ITEM-1","itemData":{"DOI":"10.1016/S2213-2600(19)30249-8","ISSN":"22132619","PMID":"31591066","abstract":"Pneumonia is a leading killer of children younger than 5 years despite high vaccination coverage, improved nutrition, and widespread implementation of the Integrated Management of Childhood Illnesses algorithm. Assessing the effect of interventions on childhood pneumonia is challenging because the choice of case definition and surveillance approach can affect the identification of pneumonia substantially. In anticipation of an intervention trial aimed to reduce childhood pneumonia by lowering household air pollution, we created a working group to provide recommendations regarding study design and implementation. We suggest to, first, select a standard case definition that combines acute (≤14 days) respiratory symptoms and signs and general danger signs with ancillary tests (such as chest imaging and pulse oximetry) to improve pneumonia identification; second, to prioritise active hospital-based pneumonia surveillance over passive case finding or home-based surveillance to reduce the risk of non-differential misclassification of pneumonia and, as a result, a reduced effect size in a randomised trial; and, lastly, to consider longitudinal follow-up of children younger than 1 year, as this age group has the highest incidence of severe pneumonia.","author":[{"dropping-particle":"","family":"Goodman","given":"Dina","non-dropping-particle":"","parse-names":false,"suffix":""},{"dropping-particle":"","family":"Crocker","given":"Mary E.","non-dropping-particle":"","parse-names":false,"suffix":""},{"dropping-particle":"","family":"Pervaiz","given":"Farhan","non-dropping-particle":"","parse-names":false,"suffix":""},{"dropping-particle":"","family":"McCollum","given":"Eric D.","non-dropping-particle":"","parse-names":false,"suffix":""},{"dropping-particle":"","family":"Steenland","given":"Kyle","non-dropping-particle":"","parse-names":false,"suffix":""},{"dropping-particle":"","family":"Simkovich","given":"Suzanne M.","non-dropping-particle":"","parse-names":false,"suffix":""},{"dropping-particle":"","family":"Miele","given":"Catherine H.","non-dropping-particle":"","parse-names":false,"suffix":""},{"dropping-particle":"","family":"Hammitt","given":"Laura L.","non-dropping-particle":"","parse-names":false,"suffix":""},{"dropping-particle":"","family":"Herrera","given":"Phabiola","non-dropping-particle":"","parse-names":false,"suffix":""},{"dropping-particle":"","family":"Zar","given":"Heather J.","non-dropping-particle":"","parse-names":false,"suffix":""},{"dropping-particle":"","family":"Campbell","given":"Harry","non-dropping-particle":"","parse-names":false,"suffix":""},{"dropping-particle":"","family":"Lanata","given":"Claudio F.","non-dropping-particle":"","parse-names":false,"suffix":""},{"dropping-particle":"","family":"McCracken","given":"John P.","non-dropping-particle":"","parse-names":false,"suffix":""},{"dropping-particle":"","family":"Thompson","given":"Lisa M.","non-dropping-particle":"","parse-names":false,"suffix":""},{"dropping-particle":"","family":"Rosa","given":"Ghislaine","non-dropping-particle":"","parse-names":false,"suffix":""},{"dropping-particle":"","family":"Kirby","given":"Miles A.","non-dropping-particle":"","parse-names":false,"suffix":""},{"dropping-particle":"","family":"Garg","given":"Sarada","non-dropping-particle":"","parse-names":false,"suffix":""},{"dropping-particle":"","family":"Thangavel","given":"Gurusamy","non-dropping-particle":"","parse-names":false,"suffix":""},{"dropping-particle":"","family":"Thanasekaraan","given":"Vijayalakshmi","non-dropping-particle":"","parse-names":false,"suffix":""},{"dropping-particle":"","family":"Balakrishnan","given":"Kalpana","non-dropping-particle":"","parse-names":false,"suffix":""},{"dropping-particle":"","family":"King","given":"Carina","non-dropping-particle":"","parse-names":false,"suffix":""},{"dropping-particle":"","family":"Clasen","given":"Thomas","non-dropping-particle":"","parse-names":false,"suffix":""},{"dropping-particle":"","family":"Checkley","given":"William","non-dropping-particle":"","parse-names":false,"suffix":""},{"dropping-particle":"","family":"Nambajimana","given":"Abidan","non-dropping-particle":"","parse-names":false,"suffix":""},{"dropping-particle":"","family":"Pillarisetti","given":"Ajay","non-dropping-particle":"","parse-names":false,"suffix":""},{"dropping-particle":"","family":"Verma","given":"Amit","non-dropping-particle":"","parse-names":false,"suffix":""},{"dropping-particle":"","family":"Lovvorn","given":"Amy","non-dropping-particle":"","parse-names":false,"suffix":""},{"dropping-particle":"","family":"Diaz","given":"Anaité","non-dropping-particle":"","parse-names":false,"suffix":""},{"dropping-particle":"","family":"Papageorghiou","given":"Aris","non-dropping-particle":"","parse-names":false,"suffix":""},{"dropping-particle":"","family":"Toenjes","given":"Ashley","non-dropping-particle":"","parse-names":false,"suffix":""},{"dropping-particle":"","family":"Quinn","given":"Ashlinn","non-dropping-particle":"","parse-names":false,"suffix":""},{"dropping-particle":"","family":"Nizam","given":"Azhar","non-dropping-particle":"","parse-names":false,"suffix":""},{"dropping-particle":"","family":"Ryan","given":"Barry","non-dropping-particle":"","parse-names":false,"suffix":""},{"dropping-particle":"","family":"Young","given":"Bonnie","non-dropping-particle":"","parse-names":false,"suffix":""},{"dropping-particle":"","family":"Barr","given":"Dana","non-dropping-particle":"","parse-names":false,"suffix":""},{"dropping-particle":"","family":"Canuz","given":"Eduardo","non-dropping-particle":"","parse-names":false,"suffix":""},{"dropping-particle":"","family":"Puzzolo","given":"Elisa","non-dropping-particle":"","parse-names":false,"suffix":""},{"dropping-particle":"","family":"McCollum","given":"Eric","non-dropping-particle":"","parse-names":false,"suffix":""},{"dropping-particle":"","family":"Mollinedo","given":"Erick","non-dropping-particle":"","parse-names":false,"suffix":""},{"dropping-particle":"","family":"Majorin","given":"Fiona","non-dropping-particle":"","parse-names":false,"suffix":""},{"dropping-particle":"","family":"Ndagijimana","given":"Florien","non-dropping-particle":"","parse-names":false,"suffix":""},{"dropping-particle":"","family":"Chang","given":"Howard","non-dropping-particle":"","parse-names":false,"suffix":""},{"dropping-particle":"","family":"Fuentes","given":"Irma","non-dropping-particle":"","parse-names":false,"suffix":""},{"dropping-particle":"","family":"Miranda","given":"J. Jaime","non-dropping-particle":"","parse-names":false,"suffix":""},{"dropping-particle":"","family":"Ntivuguruzwa","given":"J. D.","non-dropping-particle":"","parse-names":false,"suffix":""},{"dropping-particle":"","family":"Uwizeyimana","given":"Jean","non-dropping-particle":"","parse-names":false,"suffix":""},{"dropping-particle":"","family":"Peel","given":"Jennifer","non-dropping-particle":"","parse-names":false,"suffix":""},{"dropping-particle":"","family":"Sarnat","given":"Jeremy","non-dropping-particle":"","parse-names":false,"suffix":""},{"dropping-particle":"","family":"Liao","given":"Jiawen","non-dropping-particle":"","parse-names":false,"suffix":""},{"dropping-particle":"","family":"McCracken","given":"John","non-dropping-particle":"","parse-names":false,"suffix":""},{"dropping-particle":"","family":"Rosenthal","given":"Joshua","non-dropping-particle":"","parse-names":false,"suffix":""},{"dropping-particle":"","family":"Espinoza","given":"Juan","non-dropping-particle":"","parse-names":false,"suffix":""},{"dropping-particle":"","family":"Campbell","given":"J. M.","non-dropping-particle":"","parse-names":false,"suffix":""},{"dropping-particle":"","family":"Williams","given":"Kendra","non-dropping-particle":"","parse-names":false,"suffix":""},{"dropping-particle":"","family":"Smith","given":"Kirk","non-dropping-particle":"","parse-names":false,"suffix":""},{"dropping-particle":"","family":"Mukhopadhyay","given":"Krishnendu","non-dropping-particle":"","parse-names":false,"suffix":""},{"dropping-particle":"","family":"Waller","given":"Lance","non-dropping-particle":"","parse-names":false,"suffix":""},{"dropping-particle":"","family":"Moulton","given":"Lawrence","non-dropping-particle":"","parse-names":false,"suffix":""},{"dropping-particle":"","family":"Jaacks","given":"Lindsay","non-dropping-particle":"","parse-names":false,"suffix":""},{"dropping-particle":"","family":"Underhill","given":"Lindsay","non-dropping-particle":"","parse-names":false,"suffix":""},{"dropping-particle":"","family":"la Fuentes","given":"Lisa","non-dropping-particle":"de","parse-names":false,"suffix":""},{"dropping-particle":"","family":"Elon","given":"Lisa","non-dropping-particle":"","parse-names":false,"suffix":""},{"dropping-particle":"","family":"Thompson","given":"Lisa","non-dropping-particle":"","parse-names":false,"suffix":""},{"dropping-particle":"","family":"Naeher","given":"Luke","non-dropping-particle":"","parse-names":false,"suffix":""},{"dropping-particle":"","family":"Clark","given":"Maggie","non-dropping-particle":"","parse-names":false,"suffix":""},{"dropping-particle":"","family":"Laws","given":"Margaret","non-dropping-particle":"","parse-names":false,"suffix":""},{"dropping-particle":"","family":"Chiang","given":"Marilú","non-dropping-particle":"","parse-names":false,"suffix":""},{"dropping-particle":"","family":"Howard","given":"Marjorie","non-dropping-particle":"","parse-names":false,"suffix":""},{"dropping-particle":"","family":"Crocker","given":"Mary","non-dropping-particle":"","parse-names":false,"suffix":""},{"dropping-particle":"","family":"Johnson","given":"Michael","non-dropping-particle":"","parse-names":false,"suffix":""},{"dropping-particle":"","family":"Kirby","given":"Miles","non-dropping-particle":"","parse-names":false,"suffix":""},{"dropping-particle":"","family":"Puttaswamy","given":"Naveen","non-dropping-particle":"","parse-names":false,"suffix":""},{"dropping-particle":"","family":"Leon","given":"Oscar","non-dropping-particle":"De","parse-names":false,"suffix":""},{"dropping-particle":"","family":"Craik","given":"Rachel","non-dropping-particle":"","parse-names":false,"suffix":""},{"dropping-particle":"","family":"Merrick","given":"Rachel","non-dropping-particle":"","parse-names":false,"suffix":""},{"dropping-particle":"","family":"Piedrahita","given":"Ricardo","non-dropping-particle":"","parse-names":false,"suffix":""},{"dropping-particle":"","family":"Sambandam","given":"Sankar","non-dropping-particle":"","parse-names":false,"suffix":""},{"dropping-particle":"","family":"Rajkumar","given":"Sarah","non-dropping-particle":"","parse-names":false,"suffix":""},{"dropping-particle":"","family":"Gupton","given":"Savannah","non-dropping-particle":"","parse-names":false,"suffix":""},{"dropping-particle":"","family":"Hossen","given":"Shakir","non-dropping-particle":"","parse-names":false,"suffix":""},{"dropping-particle":"","family":"Sinharoy","given":"Sheela","non-dropping-particle":"","parse-names":false,"suffix":""},{"dropping-particle":"","family":"Jabbarzadeh","given":"Shirin","non-dropping-particle":"","parse-names":false,"suffix":""},{"dropping-particle":"","family":"Hartinger","given":"Stella","non-dropping-particle":"","parse-names":false,"suffix":""},{"dropping-particle":"","family":"Harvey","given":"Steven","non-dropping-particle":"","parse-names":false,"suffix":""},{"dropping-particle":"","family":"Simkovich","given":"Suzanne","non-dropping-particle":"","parse-names":false,"suffix":""},{"dropping-particle":"","family":"Ramakrishnan","given":"Usha","non-dropping-particle":"","parse-names":false,"suffix":""},{"dropping-particle":"","family":"Burrowes","given":"Vanessa","non-dropping-particle":"","parse-names":false,"suffix":""},{"dropping-particle":"","family":"Davila-Roman","given":"Victor","non-dropping-particle":"","parse-names":false,"suffix":""},{"dropping-particle":"","family":"Aravindalochanan","given":"Vigneswari","non-dropping-particle":"","parse-names":false,"suffix":""},{"dropping-particle":"","family":"Chen","given":"Yunyun","non-dropping-particle":"","parse-names":false,"suffix":""},{"dropping-particle":"","family":"Sakas","given":"Zoe","non-dropping-particle":"","parse-names":false,"suffix":""}],"container-title":"The Lancet Respiratory Medicine","id":"ITEM-1","issue":"12","issued":{"date-parts":[["2019","12","1"]]},"page":"1068-1083","publisher":"Lancet Publishing Group","title":"Challenges in the diagnosis of paediatric pneumonia in intervention field trials: recommendations from a pneumonia field trial working group","type":"article","volume":"7"},"uris":["http://www.mendeley.com/documents/?uuid=b6eb3c45-21f7-3c03-aa71-7053287c21d9"]}],"mendeley":{"formattedCitation":"&lt;sup&gt;34&lt;/sup&gt;","plainTextFormattedCitation":"34","previouslyFormattedCitation":"&lt;sup&gt;33&lt;/sup&gt;"},"properties":{"noteIndex":0},"schema":"https://github.com/citation-style-language/schema/raw/master/csl-citation.json"}</w:instrText>
      </w:r>
      <w:r>
        <w:rPr>
          <w:color w:val="000000"/>
          <w:shd w:val="clear" w:color="auto" w:fill="FFFFFF"/>
        </w:rPr>
        <w:fldChar w:fldCharType="separate"/>
      </w:r>
      <w:r w:rsidRPr="008C02B1">
        <w:rPr>
          <w:noProof/>
          <w:color w:val="000000"/>
          <w:shd w:val="clear" w:color="auto" w:fill="FFFFFF"/>
          <w:vertAlign w:val="superscript"/>
        </w:rPr>
        <w:t>34</w:t>
      </w:r>
      <w:r>
        <w:rPr>
          <w:color w:val="000000"/>
          <w:shd w:val="clear" w:color="auto" w:fill="FFFFFF"/>
        </w:rPr>
        <w:fldChar w:fldCharType="end"/>
      </w:r>
      <w:r>
        <w:rPr>
          <w:color w:val="000000"/>
          <w:shd w:val="clear" w:color="auto" w:fill="FFFFFF"/>
        </w:rPr>
        <w:t>, as well as the lack of a safe and</w:t>
      </w:r>
      <w:r>
        <w:t xml:space="preserve"> effective gold-standard for aetiological identification also present a challenge in using published data and studies on causal pathogens and underlying ‘true’ disease. </w:t>
      </w:r>
    </w:p>
    <w:p w14:paraId="45250A12" w14:textId="77777777" w:rsidR="000979B2" w:rsidRDefault="000979B2" w:rsidP="000979B2">
      <w:pPr>
        <w:rPr>
          <w:color w:val="000000"/>
          <w:shd w:val="clear" w:color="auto" w:fill="FFFFFF"/>
        </w:rPr>
      </w:pPr>
      <w:r>
        <w:t>The</w:t>
      </w:r>
      <w:r>
        <w:rPr>
          <w:color w:val="000000"/>
          <w:shd w:val="clear" w:color="auto" w:fill="FFFFFF"/>
        </w:rPr>
        <w:t xml:space="preserve"> proposed natural history model assumes causation of the selected pathogens, however, the attributable fractions estimated in the PERCH study can at best suggest an association. The identification of respiratory pathogens relies on specimens distant to the site of infection, such as nasopharyngeal, blood, and urine samples. Therefore, regardless of the highly sensitive techniques in identifying the organisms, it will lack specificity for establishing causality. </w:t>
      </w:r>
    </w:p>
    <w:p w14:paraId="51E74416" w14:textId="39002D1B" w:rsidR="000979B2" w:rsidRDefault="000979B2" w:rsidP="000979B2">
      <w:pPr>
        <w:spacing w:after="160" w:line="259" w:lineRule="auto"/>
        <w:ind w:firstLine="0"/>
        <w:contextualSpacing w:val="0"/>
        <w:jc w:val="left"/>
        <w:rPr>
          <w:rFonts w:eastAsiaTheme="majorEastAsia" w:cstheme="majorBidi"/>
          <w:b/>
          <w:color w:val="1F4E79" w:themeColor="accent1" w:themeShade="80"/>
          <w:sz w:val="25"/>
          <w:szCs w:val="26"/>
        </w:rPr>
      </w:pPr>
      <w:r>
        <w:t xml:space="preserve">The PERCH study is the largest evaluation of the WHO methodology for the standardized interpretation of paediatric CXRs. The proportions of CXR+ cases in PERCH are used to calculate the incidence of pneumonia as the underlying condition of respiratory symptoms presenting to care, as well as the incidence of bronchiolitis as the underlying condition considered for the remaining proportion (CXR-). </w:t>
      </w:r>
      <w:r>
        <w:rPr>
          <w:color w:val="000000"/>
          <w:shd w:val="clear" w:color="auto" w:fill="FFFFFF"/>
        </w:rPr>
        <w:t xml:space="preserve">However, without </w:t>
      </w:r>
      <w:r>
        <w:t>a safe and effective gold-standard for the diagnosis of pneumonia</w:t>
      </w:r>
      <w:r>
        <w:fldChar w:fldCharType="begin" w:fldLock="1"/>
      </w:r>
      <w:r>
        <w:instrText>ADDIN CSL_CITATION {"citationItems":[{"id":"ITEM-1","itemData":{"DOI":"10.1093/cid/cix143","abstract":"Pneumonia kills more children each year worldwide than any other disease. Nonetheless, accurately determining the causes of childhood pneumonia has remained elusive. Over the past century, the focus of pneumonia etiology research has shifted from studies of lung aspirates and postmortem specimens intent on identifying pneumococcal disease to studies of multiple specimen types distant from the lung that are tested for multiple pathogens. Some major challenges facing modern pneumonia etiology studies include the use of nonspecific and variable case definitions, poor access to pathologic lung tissue and to specimens from fatal cases, poor diagnostic accuracy of assays (especially when testing nonpulmonary specimens), and the interpretation of results when multiple pathogens are detected in a given individual. The future of childhood pneumonia etiology research will likely require integrating data from complementary approaches, including applications of advanced molecular diagnostics and vaccine probe studies, as well as a renewed emphasis on lung aspirates from radiologically confirmed pneumonia and postmortem examinations. Keywords. pneumonia; etiology; causation; acute lower respiratory tract infections. Over the past century, findings of pneumonia etiology studies in children have swung from detection of only bacteria to a preponderance of viruses. This apparent change in the microbial etiology of pneumonia is attributable, perhaps, as much to changes in study design and methodology as to true changes in etiology. The same can be said when comparing the results across recent pneumonia etiology studies. Interpretation and comparison of results from studies that use different case definitions , study designs, specimen collection approaches, and diagnostic tests require recognition of the biases inherent in each approach. Yet, the challenges of determining pneumonia etiology extend beyond controlling for bias. The syndrome of pneumonia is inherently challenging to define and diagnose, and its pathogenesis is complex. In this article, we explore the challenges of determining the microbial etiology of pneumonia, starting with a brief history of pneumonia etiology studies, with particular emphasis on the challenges faced by each era of research. We then enumerate the principal enduring challenges, demonstrating how each challenge can influence results. Finally, we comment on approaches for future research that could resolve the challenges. HISTORY OF PNEUMONI…","author":[{"dropping-particle":"","family":"Feikin","given":"Daniel R","non-dropping-particle":"","parse-names":false,"suffix":""},{"dropping-particle":"","family":"Hammitt","given":"Laura L","non-dropping-particle":"","parse-names":false,"suffix":""},{"dropping-particle":"","family":"Murdoch","given":"David R","non-dropping-particle":"","parse-names":false,"suffix":""},{"dropping-particle":"","family":"O'brien","given":"Katherine L","non-dropping-particle":"","parse-names":false,"suffix":""},{"dropping-particle":"","family":"Anthony","given":"J","non-dropping-particle":"","parse-names":false,"suffix":""},{"dropping-particle":"","family":"Scott","given":"G","non-dropping-particle":"","parse-names":false,"suffix":""}],"container-title":"Clinical Infectious Diseases","id":"ITEM-1","issued":{"date-parts":[["2017"]]},"title":"The Enduring Challenge of Determining Pneumonia Etiology in Children: Considerations for Future Research Priorities","type":"article-journal"},"uris":["http://www.mendeley.com/documents/?uuid=e69398a1-70bb-3f80-901b-f8b6b2e7fa8d"]}],"mendeley":{"formattedCitation":"&lt;sup&gt;5&lt;/sup&gt;","plainTextFormattedCitation":"5","previouslyFormattedCitation":"&lt;sup&gt;5&lt;/sup&gt;"},"properties":{"noteIndex":0},"schema":"https://github.com/citation-style-language/schema/raw/master/csl-citation.json"}</w:instrText>
      </w:r>
      <w:r>
        <w:fldChar w:fldCharType="separate"/>
      </w:r>
      <w:r w:rsidRPr="004D0AEE">
        <w:rPr>
          <w:noProof/>
          <w:vertAlign w:val="superscript"/>
        </w:rPr>
        <w:t>5</w:t>
      </w:r>
      <w:r>
        <w:fldChar w:fldCharType="end"/>
      </w:r>
      <w:r>
        <w:t>, clinical signs of pneumonia and radiological findings may be correlated, without being correlated to ‘true’ pneumonia</w:t>
      </w:r>
      <w:r>
        <w:fldChar w:fldCharType="begin" w:fldLock="1"/>
      </w:r>
      <w:r>
        <w:instrText>ADDIN CSL_CITATION {"citationItems":[{"id":"ITEM-1","itemData":{"DOI":"10.1093/cid/cix089","ISSN":"15376591","PMID":"28575361","abstract":"Background. Chest radiographs (CXRs) are frequently used to assess pneumonia cases. Variations in CXR appearances between epidemiological settings and their correlation with clinical signs are not well documented. Methods. The Pneumonia Etiology Research for Child Health project enrolled 4232 cases of hospitalized World Health Organization (WHO)-defined severe and very severe pneumonia from 9 sites in 7 countries (Bangladesh, the Gambia, Kenya, Mali, South Africa, Thailand, and Zambia). At admission, each case underwent a standardized assessment of clinical signs and pneumonia risk factors by trained health personnel, and a CXR was taken that was interpreted using the standardized WHO methodology. CXRs were categorized as abnormal (consolidation and/or other infiltrate), normal, or uninterpretable. Results. CXRs were interpretable in 3587 (85%) cases, of which 1935 (54%) were abnormal (site range, 35%-64%). Cases with abnormal CXRs were more likely than those with normal CXRs to have hypoxemia (45% vs 26%), crackles (69% vs 62%), tachypnea (85% vs 80%), or fever (20% vs 16%) and less likely to have wheeze (30% vs 38%; all P &lt; .05). CXR consolidation was associated with a higher case fatality ratio at 30-day follow-up (13.5%) compared to other infiltrate (4.7%) or normal (4.9%) CXRs. Conclusions. Clinically diagnosed pneumonia cases with abnormal CXRs were more likely to have signs typically associated with pneumonia. However, CXR-normal cases were common, and clinical signs considered indicative of pneumonia were present in substantial proportions of these cases. CXR-consolidation cases represent a group with an increased likelihood of death at 30 days post-discharge.","author":[{"dropping-particle":"","family":"Fancourt","given":"Nicholas","non-dropping-particle":"","parse-names":false,"suffix":""},{"dropping-particle":"","family":"Knoll","given":"Maria Deloria","non-dropping-particle":"","parse-names":false,"suffix":""},{"dropping-particle":"","family":"Baggett","given":"Henry C.","non-dropping-particle":"","parse-names":false,"suffix":""},{"dropping-particle":"","family":"Brooks","given":"W. Abdullah","non-dropping-particle":"","parse-names":false,"suffix":""},{"dropping-particle":"","family":"Feikin","given":"Daniel R.","non-dropping-particle":"","parse-names":false,"suffix":""},{"dropping-particle":"","family":"Hammitt","given":"Laura L.","non-dropping-particle":"","parse-names":false,"suffix":""},{"dropping-particle":"","family":"Howie","given":"Stephen R.C.","non-dropping-particle":"","parse-names":false,"suffix":""},{"dropping-particle":"","family":"Kotloff","given":"Karen L.","non-dropping-particle":"","parse-names":false,"suffix":""},{"dropping-particle":"","family":"Levine","given":"Orin S.","non-dropping-particle":"","parse-names":false,"suffix":""},{"dropping-particle":"","family":"Madhi","given":"Shabir A.","non-dropping-particle":"","parse-names":false,"suffix":""},{"dropping-particle":"","family":"Murdoch","given":"David R.","non-dropping-particle":"","parse-names":false,"suffix":""},{"dropping-particle":"","family":"Scott","given":"J. Anthony G.","non-dropping-particle":"","parse-names":false,"suffix":""},{"dropping-particle":"","family":"Thea","given":"Donald M.","non-dropping-particle":"","parse-names":false,"suffix":""},{"dropping-particle":"","family":"Awori","given":"Juliet O.","non-dropping-particle":"","parse-names":false,"suffix":""},{"dropping-particle":"","family":"Barger-Kamate","given":"Breanna","non-dropping-particle":"","parse-names":false,"suffix":""},{"dropping-particle":"","family":"Chipeta","given":"James","non-dropping-particle":"","parse-names":false,"suffix":""},{"dropping-particle":"","family":"DeLuca","given":"Andrea N.","non-dropping-particle":"","parse-names":false,"suffix":""},{"dropping-particle":"","family":"Diallo","given":"Mahamadou","non-dropping-particle":"","parse-names":false,"suffix":""},{"dropping-particle":"","family":"Driscoll","given":"Amanda J.","non-dropping-particle":"","parse-names":false,"suffix":""},{"dropping-particle":"","family":"Ebruke","given":"Bernard E.","non-dropping-particle":"","parse-names":false,"suffix":""},{"dropping-particle":"","family":"Higdon","given":"Melissa M.","non-dropping-particle":"","parse-names":false,"suffix":""},{"dropping-particle":"","family":"Jahan","given":"Yasmin","non-dropping-particle":"","parse-names":false,"suffix":""},{"dropping-particle":"","family":"Karron","given":"Ruth A.","non-dropping-particle":"","parse-names":false,"suffix":""},{"dropping-particle":"","family":"Mahomed","given":"Nasreen","non-dropping-particle":"","parse-names":false,"suffix":""},{"dropping-particle":"","family":"Moore","given":"David P.","non-dropping-particle":"","parse-names":false,"suffix":""},{"dropping-particle":"","family":"Nahar","given":"Kamrun","non-dropping-particle":"","parse-names":false,"suffix":""},{"dropping-particle":"","family":"Naorat","given":"Sathapana","non-dropping-particle":"","parse-names":false,"suffix":""},{"dropping-particle":"","family":"Ominde","given":"Micah Silaba","non-dropping-particle":"","parse-names":false,"suffix":""},{"dropping-particle":"","family":"Park","given":"Daniel E.","non-dropping-particle":"","parse-names":false,"suffix":""},{"dropping-particle":"","family":"Prosperi","given":"Christine","non-dropping-particle":"","parse-names":false,"suffix":""},{"dropping-particle":"","family":"Somwe","given":"Somwe Wa","non-dropping-particle":"","parse-names":false,"suffix":""},{"dropping-particle":"","family":"Thamthitiwat","given":"Somsak","non-dropping-particle":"","parse-names":false,"suffix":""},{"dropping-particle":"","family":"Zaman","given":"Syed M.A.","non-dropping-particle":"","parse-names":false,"suffix":""},{"dropping-particle":"","family":"Zeger","given":"Scott L.","non-dropping-particle":"","parse-names":false,"suffix":""},{"dropping-particle":"","family":"O'Brien","given":"Katherine L.","non-dropping-particle":"","parse-names":false,"suffix":""},{"dropping-particle":"","family":"Fu","given":"Wei","non-dropping-particle":"","parse-names":false,"suffix":""},{"dropping-particle":"","family":"Kagucia","given":"E. Wangeci","non-dropping-particle":"","parse-names":false,"suffix":""},{"dropping-particle":"","family":"Li","given":"Mengying","non-dropping-particle":"","parse-names":false,"suffix":""},{"dropping-particle":"","family":"Wu","given":"Zhenke","non-dropping-particle":"","parse-names":false,"suffix":""},{"dropping-particle":"","family":"Watson","given":"Nora L.","non-dropping-particle":"","parse-names":false,"suffix":""},{"dropping-particle":"","family":"Crawley","given":"Jane","non-dropping-particle":"","parse-names":false,"suffix":""},{"dropping-particle":"","family":"Endtz","given":"Hubert P.","non-dropping-particle":"","parse-names":false,"suffix":""},{"dropping-particle":"","family":"Zaman","given":"Khalequ","non-dropping-particle":"","parse-names":false,"suffix":""},{"dropping-particle":"","family":"Goswami","given":"Doli","non-dropping-particle":"","parse-names":false,"suffix":""},{"dropping-particle":"","family":"Hossain","given":"Lokman","non-dropping-particle":"","parse-names":false,"suffix":""},{"dropping-particle":"","family":"Ashraf","given":"Hasan","non-dropping-particle":"","parse-names":false,"suffix":""},{"dropping-particle":"","family":"Antonio","given":"Martin","non-dropping-particle":"","parse-names":false,"suffix":""},{"dropping-particle":"","family":"McLellan","given":"Jessica","non-dropping-particle":"","parse-names":false,"suffix":""},{"dropping-particle":"","family":"Machuka","given":"Eunice","non-dropping-particle":"","parse-names":false,"suffix":""},{"dropping-particle":"","family":"Shamsul","given":"Arifin","non-dropping-particle":"","parse-names":false,"suffix":""},{"dropping-particle":"","family":"Mackenzie","given":"Grant","non-dropping-particle":"","parse-names":false,"suffix":""},{"dropping-particle":"","family":"Morpeth","given":"Susan C.","non-dropping-particle":"","parse-names":false,"suffix":""},{"dropping-particle":"","family":"Kamau","given":"Alice","non-dropping-particle":"","parse-names":false,"suffix":""},{"dropping-particle":"","family":"Kazungu","given":"Sidi","non-dropping-particle":"","parse-names":false,"suffix":""},{"dropping-particle":"","family":"Tapia","given":"Milagritos D.","non-dropping-particle":"","parse-names":false,"suffix":""},{"dropping-particle":"","family":"Sow","given":"Samba O.","non-dropping-particle":"","parse-names":false,"suffix":""},{"dropping-particle":"","family":"Sylla","given":"Mamadou","non-dropping-particle":"","parse-names":false,"suffix":""},{"dropping-particle":"","family":"Tamboura","given":"Boubou","non-dropping-particle":"","parse-names":false,"suffix":""},{"dropping-particle":"","family":"Onwuchekwa","given":"Uma","non-dropping-particle":"","parse-names":false,"suffix":""},{"dropping-particle":"","family":"Kourouma","given":"Nana","non-dropping-particle":"","parse-names":false,"suffix":""},{"dropping-particle":"","family":"Toure","given":"Aliou","non-dropping-particle":"","parse-names":false,"suffix":""},{"dropping-particle":"V.","family":"Adrian","given":"Peter","non-dropping-particle":"","parse-names":false,"suffix":""},{"dropping-particle":"","family":"Baillie","given":"Vicky L.","non-dropping-particle":"","parse-names":false,"suffix":""},{"dropping-particle":"","family":"Kuwanda","given":"Locadiah","non-dropping-particle":"","parse-names":false,"suffix":""},{"dropping-particle":"","family":"Mudau","given":"Azwifarwi","non-dropping-particle":"","parse-names":false,"suffix":""},{"dropping-particle":"","family":"Groome","given":"Michelle J.","non-dropping-particle":"","parse-names":false,"suffix":""},{"dropping-particle":"","family":"Maloney","given":"Susan A.","non-dropping-particle":"","parse-names":false,"suffix":""},{"dropping-particle":"","family":"Bunthi","given":"Charatdao","non-dropping-particle":"","parse-names":false,"suffix":""},{"dropping-particle":"","family":"Rhodes","given":"Julia","non-dropping-particle":"","parse-names":false,"suffix":""},{"dropping-particle":"","family":"Sawatwong","given":"Pongpun","non-dropping-particle":"","parse-names":false,"suffix":""},{"dropping-particle":"","family":"Akarasewi","given":"Pasakorn","non-dropping-particle":"","parse-names":false,"suffix":""},{"dropping-particle":"","family":"Mwananyanda","given":"Lawrence","non-dropping-particle":"","parse-names":false,"suffix":""},{"dropping-particle":"","family":"Seidenberg","given":"Phil","non-dropping-particle":"","parse-names":false,"suffix":""},{"dropping-particle":"","family":"Mwansa","given":"James","non-dropping-particle":"","parse-names":false,"suffix":""},{"dropping-particle":"","family":"Kwenda","given":"Geoffrey","non-dropping-particle":"","parse-names":false,"suffix":""}],"container-title":"Clinical Infectious Diseases","id":"ITEM-1","issue":"suppl_3","issued":{"date-parts":[["2017"]]},"page":"S262-S270","publisher":"Oxford University Press","title":"Chest radiograph findings in childhood pneumonia cases from the multisite PERCH study","type":"article-journal","volume":"64"},"uris":["http://www.mendeley.com/documents/?uuid=64c51bb0-54e6-330e-bc5d-5bb2bb1c9d0f"]}],"mendeley":{"formattedCitation":"&lt;sup&gt;35&lt;/sup&gt;","plainTextFormattedCitation":"35","previouslyFormattedCitation":"&lt;sup&gt;34&lt;/sup&gt;"},"properties":{"noteIndex":0},"schema":"https://github.com/citation-style-language/schema/raw/master/csl-citation.json"}</w:instrText>
      </w:r>
      <w:r>
        <w:fldChar w:fldCharType="separate"/>
      </w:r>
      <w:r w:rsidRPr="008C02B1">
        <w:rPr>
          <w:noProof/>
          <w:vertAlign w:val="superscript"/>
        </w:rPr>
        <w:t>35</w:t>
      </w:r>
      <w:r>
        <w:fldChar w:fldCharType="end"/>
      </w:r>
      <w:r>
        <w:t>. Although, chest radiographs accurately identifies established pathological consolidation, it may miss early stages of infection. Additionally, there is a lack of high concordance on distinguishing normal CXR from other infiltrates</w:t>
      </w:r>
      <w:r>
        <w:fldChar w:fldCharType="begin" w:fldLock="1"/>
      </w:r>
      <w:r>
        <w:instrText>ADDIN CSL_CITATION {"citationItems":[{"id":"ITEM-1","itemData":{"author":[{"dropping-particle":"","family":"Nicholas Fancourt, Maria Deloria Knoll, Breanna Barger-Kamate, John de Campo, Margaret de Campo, Mahamadou Diallo, Bernard E. Ebruke, Daniel R. Feikin, Fergus Gleeson, Wenfeng Gong, Laura L. Hammitt, Rasa Izadnegahdar, Anchalee Kruatrachue, Shabir A. Madh","given":"Katherine L. O’Brien","non-dropping-particle":"","parse-names":false,"suffix":""}],"container-title":"Clinical Infectious Diseases","id":"ITEM-1","issued":{"date-parts":[["2017"]]},"page":"S253–S261","title":"Standardized Interpretation of Chest Radiographs in Cases of Pediatric Pneumonia From the PERCH Study","type":"article-journal"},"uris":["http://www.mendeley.com/documents/?uuid=4ba1713e-cf0b-366f-ab6b-93aa6247b2c5"]}],"mendeley":{"formattedCitation":"&lt;sup&gt;36&lt;/sup&gt;","plainTextFormattedCitation":"36","previouslyFormattedCitation":"&lt;sup&gt;35&lt;/sup&gt;"},"properties":{"noteIndex":0},"schema":"https://github.com/citation-style-language/schema/raw/master/csl-citation.json"}</w:instrText>
      </w:r>
      <w:r>
        <w:fldChar w:fldCharType="separate"/>
      </w:r>
      <w:r w:rsidRPr="008C02B1">
        <w:rPr>
          <w:noProof/>
          <w:vertAlign w:val="superscript"/>
        </w:rPr>
        <w:t>36</w:t>
      </w:r>
      <w:r>
        <w:fldChar w:fldCharType="end"/>
      </w:r>
      <w:r>
        <w:t>, in which the latter imaging feature can overlap with bronchiolitis in infants, with evidence of hyperinflation and localised atelectasis.</w:t>
      </w:r>
      <w:r>
        <w:br w:type="page"/>
      </w:r>
    </w:p>
    <w:p w14:paraId="3564EBC9" w14:textId="49F1877B" w:rsidR="00E31097" w:rsidRDefault="00E31097" w:rsidP="000F21E6">
      <w:pPr>
        <w:pStyle w:val="Heading2"/>
      </w:pPr>
      <w:r>
        <w:lastRenderedPageBreak/>
        <w:t xml:space="preserve">Integrating ALRI with the </w:t>
      </w:r>
      <w:r w:rsidR="004869A5">
        <w:t>H</w:t>
      </w:r>
      <w:r>
        <w:t xml:space="preserve">ealth </w:t>
      </w:r>
      <w:r w:rsidR="004869A5">
        <w:t>S</w:t>
      </w:r>
      <w:r>
        <w:t>ystem</w:t>
      </w:r>
      <w:bookmarkEnd w:id="9"/>
      <w:bookmarkEnd w:id="10"/>
      <w:r>
        <w:t xml:space="preserve"> </w:t>
      </w:r>
    </w:p>
    <w:p w14:paraId="24E5AF91" w14:textId="6490BF32" w:rsidR="00BF5F97" w:rsidRPr="00BF5F97" w:rsidRDefault="00BF5F97" w:rsidP="00BF5F97">
      <w:r>
        <w:t>Bacterial pneumonia require oral antibiotics, which are often prescribed at a health centre, and can be diagnosed and treated at the community level by trained community health workers through integrated Community Case Management (iCCM) services. Whereas viral causes of ALRI require supportive care (e.g. oxygen therapy) or antiviral therapy depending on the aetiology. However, given the challenges of aetiological diagnosis, empiric antibiotic treatment is high. Hospitalization is only recommended for the severe cases of pneumonia.</w:t>
      </w:r>
      <w:r w:rsidRPr="008043BA">
        <w:rPr>
          <w:noProof/>
        </w:rPr>
        <w:t xml:space="preserve"> </w:t>
      </w:r>
      <w:r>
        <w:rPr>
          <w:noProof/>
        </w:rPr>
        <w:t>The case-fatality rate in untreated children with pneumonia can be as high as 20%</w:t>
      </w:r>
      <w:r>
        <w:rPr>
          <w:noProof/>
        </w:rPr>
        <w:fldChar w:fldCharType="begin" w:fldLock="1"/>
      </w:r>
      <w:r w:rsidR="008C02B1">
        <w:rPr>
          <w:noProof/>
        </w:rPr>
        <w:instrText>ADDIN CSL_CITATION {"citationItems":[{"id":"ITEM-1","itemData":{"ISSN":"0036-3634","PMID":"3187734","abstract":"Acute respiratory infections of viral or bacterial origin represent 1 of the 3 main causes of morbidity and mortality in children of developing countries, where they typically are responsible for 15-20% of deaths in children under 5. Mortality rates are higher in children under 1 year and decline with age. Fewer than 2% of children with pneumonia in developed countries die, vs. an estimated 10-20% in developing countries. Operational studies indicate that children dying of acute respiratory infections are those who do not receive health services or receive them too late, and those whose moderate infections are inadequately treated. Determining factors include inaccessibility of health services, socioeconomic problems, cultural factors limiting the frequency and acceptance of formal health services, and inadequate management of acute respiratory infections by the general health services. Immunizations, better case management and health education are 3 interventions for control of respirator infections that offer immediate potential benefits for primary health care in developing countries. Vaccinations against whooping cough, measles, and diphtheria are part of the Expanded Program of Immunization. Anti-pneumococcal vaccines and flu shots are not appropriate for use in children in developing countries. Health personnel should be trained to use antibiotics more rationally and efficiently and to make referrals to higher levels of care when needed. Oxygen treatment should be available in secondary and tertiary care centers. Health personnel should be trained to administer simple treatments for other possible complications of respiratory infections. Such measures have been applied sporadically in developing countries and data on their efficacy remain sparse. But mortality rates declined greatly in 1 rural community of India after introduction of the measures, and more proofs of their efficacy will become available as programs develop. It will be necessary to train health agents in differentiation of cases according to gravity, to recommend and apply treatment, to administer antimicrobial drugs, and to refer cases to hospitals. The main decision of the health agent concerns the gravity of the case and not the diagnosis of pneumonia or bronchitis. A classification based on the few most important signs and symptoms will facilitate the 2 principal decisions about treatment; whether to administer antimicrobial and whether to treat at home or refer to a higher leve…","author":[{"dropping-particle":"","family":"Benguigui","given":"Y","non-dropping-particle":"","parse-names":false,"suffix":""}],"container-title":"Salud publica de Mexico","id":"ITEM-1","issue":"3","issued":{"date-parts":[["0"]]},"page":"362-9","title":"[Magnitude and control of acute respiratory infections in children].","type":"article-journal","volume":"30"},"uris":["http://www.mendeley.com/documents/?uuid=5daf9ea5-36e6-366a-bcba-623aaa258e9a"]}],"mendeley":{"formattedCitation":"&lt;sup&gt;37&lt;/sup&gt;","plainTextFormattedCitation":"37","previouslyFormattedCitation":"&lt;sup&gt;36&lt;/sup&gt;"},"properties":{"noteIndex":0},"schema":"https://github.com/citation-style-language/schema/raw/master/csl-citation.json"}</w:instrText>
      </w:r>
      <w:r>
        <w:rPr>
          <w:noProof/>
        </w:rPr>
        <w:fldChar w:fldCharType="separate"/>
      </w:r>
      <w:r w:rsidR="008C02B1" w:rsidRPr="008C02B1">
        <w:rPr>
          <w:noProof/>
          <w:vertAlign w:val="superscript"/>
        </w:rPr>
        <w:t>37</w:t>
      </w:r>
      <w:r>
        <w:rPr>
          <w:noProof/>
        </w:rPr>
        <w:fldChar w:fldCharType="end"/>
      </w:r>
      <w:r>
        <w:rPr>
          <w:noProof/>
        </w:rPr>
        <w:t xml:space="preserve"> and death can occur as early as 3 days after the onset of illness</w:t>
      </w:r>
      <w:r>
        <w:rPr>
          <w:noProof/>
        </w:rPr>
        <w:fldChar w:fldCharType="begin" w:fldLock="1"/>
      </w:r>
      <w:r w:rsidR="008C02B1">
        <w:rPr>
          <w:noProof/>
        </w:rPr>
        <w:instrText>ADDIN CSL_CITATION {"citationItems":[{"id":"ITEM-1","itemData":{"DOI":"10.1093/HEAPOL","abstract":"BACKGROUND A recent situational analysis suggests that post-apartheid South Africa has made some gains with respect to the decentralization and integration of mental health into primary health care. However, service gaps within and between provinces remain, with rural areas particularly underserved. Aim This study aims to calculate and cost a hypothetical human resource mix required to populate a framework for district adult mental health services. This framework embraces the concept of task shifting, where dedicated low cost mental health workers at the community and clinic levels supplement integrated care. METHOD The expected number and cost of human resources was based on: (a) assumptions of service provision derived from existing services in a sub-district demonstration site and a literature review of evidence-based packages of care in low- and middle-income countries; and (b) assumptions of service needs derived from other studies. RESULTS For a nominal population of 100 000, minimal service coverage estimates of 50% for schizophrenia, bipolar affective disorder, major depressive disorder and 30% for post-traumatic stress disorder and maternal depression would require that the primary health care staffing package include one post for a mental health counsellor or equivalent and 7.2 community mental health worker posts. The cost of these personnel amounts to pound28 457 per 100 000 population. This cost can be offset by a reduction in the number of other specialist and non-specialist health personnel required to close service gaps at primary care level. CONCLUSION The adoption of the concept of task shifting can substantially reduce the expected number of health care providers otherwise needed to close mental health service gaps at primary health care level in South Africa at minimal cost and may serve as a model for other middle-income countries.","author":[{"dropping-particle":"","family":"Hortensia","given":"Reyes","non-dropping-particle":"","parse-names":false,"suffix":""},{"dropping-particle":"","family":"Perez-Cuevas","given":"Ricardo","non-dropping-particle":"","parse-names":false,"suffix":""},{"dropping-particle":"","family":"Salmeron","given":"Jorge","non-dropping-particle":"","parse-names":false,"suffix":""},{"dropping-particle":"","family":"Tome","given":"Patricia","non-dropping-particle":"","parse-names":false,"suffix":""},{"dropping-particle":"","family":"Guiscafre","given":"Hector","non-dropping-particle":"","parse-names":false,"suffix":""},{"dropping-particle":"","family":"Gutierrez","given":"Gonzalo","non-dropping-particle":"","parse-names":false,"suffix":""}],"container-title":"Health Policy and Planning","id":"ITEM-1","issue":"3","issued":{"date-parts":[["1997","1","1"]]},"page":"214-230","publisher":"Oxford Academic","title":"Infant Mortality Due to Acute Respiratory Infections: The influence of Primary Care Processes","type":"article-journal","volume":"12"},"uris":["http://www.mendeley.com/documents/?uuid=fab2b995-8136-39b3-a3d0-6c8ec5f3504a"]}],"mendeley":{"formattedCitation":"&lt;sup&gt;38&lt;/sup&gt;","plainTextFormattedCitation":"38","previouslyFormattedCitation":"&lt;sup&gt;37&lt;/sup&gt;"},"properties":{"noteIndex":0},"schema":"https://github.com/citation-style-language/schema/raw/master/csl-citation.json"}</w:instrText>
      </w:r>
      <w:r>
        <w:rPr>
          <w:noProof/>
        </w:rPr>
        <w:fldChar w:fldCharType="separate"/>
      </w:r>
      <w:r w:rsidR="008C02B1" w:rsidRPr="008C02B1">
        <w:rPr>
          <w:noProof/>
          <w:vertAlign w:val="superscript"/>
        </w:rPr>
        <w:t>38</w:t>
      </w:r>
      <w:r>
        <w:rPr>
          <w:noProof/>
        </w:rPr>
        <w:fldChar w:fldCharType="end"/>
      </w:r>
      <w:r>
        <w:rPr>
          <w:noProof/>
        </w:rPr>
        <w:t>. Early initiation of antibiotic treatment after the onset of symptoms such as fast breathing in a child with cough, reduces the progression of a pneumonia infection</w:t>
      </w:r>
      <w:r>
        <w:rPr>
          <w:noProof/>
        </w:rPr>
        <w:fldChar w:fldCharType="begin" w:fldLock="1"/>
      </w:r>
      <w:r w:rsidR="008C02B1">
        <w:rPr>
          <w:noProof/>
        </w:rPr>
        <w:instrText>ADDIN CSL_CITATION {"citationItems":[{"id":"ITEM-1","itemData":{"DOI":"10.2471/BLT.09.065649","ISSN":"00429686","abstract":"Problem: Acute diarrhoeal diseases and acute respiratory infections (ARIs) are the most common causes of child mortality worldwide. Safe, effective and inexpensive solutions are available for prevention and control, but they do not reach needy communities. Approach:Interventions based on research were designed to train and engage community health volunteers (CHVs) to implement a community-based control programme in Nepal. With the advent of the Integrated Management of Childhood Illnesses (IMCI) strategy, this programme subsequently emerged as a community-based IMCI but retained its mainstream activities. We reviewed and analysed policy decisions and programme development, implementation and expansion. Local setting: Severe resource constraints and difficult terrain limit access to health-care facilities in many parts of Nepal. Relevant changes: In districts with interventions, more cases of acute diarrhoea and of ARIs (including pneumonia) were reported. The proportion of diarrhoea cases with dehydration and the proportion of ARI cases with pneumonia were significantly lower in districts with interventions. Case fatality rates due to acute diarrhoea and the proportion of severe pneumonia among ARI cases across the country showed a significant trend towards a decrease from 2004 to 2007. Nepal has succeeded in training many CHVs and is on course to meet the Millennium Development Goal for child mortality. Lessons learnt: The burden of acute diarrhoea and ARIs can be reduced by training and engaging CHVs to implement community-based case management and prevention strategies. Monitoring, supervision and logistical support are essential. Policy decisions based on evidence from national research contributed to the success of the programme.","author":[{"dropping-particle":"","family":"Ghimire","given":"Madhu","non-dropping-particle":"","parse-names":false,"suffix":""},{"dropping-particle":"","family":"Pradhan","given":"Yasho Vardhan","non-dropping-particle":"","parse-names":false,"suffix":""},{"dropping-particle":"","family":"Maskey","given":"Mahesh Kumar","non-dropping-particle":"","parse-names":false,"suffix":""}],"container-title":"Bulletin of the World Health Organization","id":"ITEM-1","issue":"3","issued":{"date-parts":[["2010","3"]]},"page":"216-221","publisher":"World Health Organization","title":"Community-based interventions for diarrhoeal diseases and acute respiratory infections in Nepal","type":"article-journal","volume":"88"},"uris":["http://www.mendeley.com/documents/?uuid=3d2dfce2-68fe-346c-bef0-684e602d6658"]}],"mendeley":{"formattedCitation":"&lt;sup&gt;39&lt;/sup&gt;","plainTextFormattedCitation":"39","previouslyFormattedCitation":"&lt;sup&gt;38&lt;/sup&gt;"},"properties":{"noteIndex":0},"schema":"https://github.com/citation-style-language/schema/raw/master/csl-citation.json"}</w:instrText>
      </w:r>
      <w:r>
        <w:rPr>
          <w:noProof/>
        </w:rPr>
        <w:fldChar w:fldCharType="separate"/>
      </w:r>
      <w:r w:rsidR="008C02B1" w:rsidRPr="008C02B1">
        <w:rPr>
          <w:noProof/>
          <w:vertAlign w:val="superscript"/>
        </w:rPr>
        <w:t>39</w:t>
      </w:r>
      <w:r>
        <w:rPr>
          <w:noProof/>
        </w:rPr>
        <w:fldChar w:fldCharType="end"/>
      </w:r>
      <w:r>
        <w:rPr>
          <w:noProof/>
        </w:rPr>
        <w:t>. In the absence of an early intervention, bacterial penumonia can progress to a severe state where even intraveneous antibiotics have limited impact, leading to the high hospital case-fatality rates for children</w:t>
      </w:r>
      <w:r>
        <w:rPr>
          <w:noProof/>
        </w:rPr>
        <w:fldChar w:fldCharType="begin" w:fldLock="1"/>
      </w:r>
      <w:r w:rsidR="008C02B1">
        <w:rPr>
          <w:noProof/>
        </w:rPr>
        <w:instrText>ADDIN CSL_CITATION {"citationItems":[{"id":"ITEM-1","itemData":{"DOI":"10.1136/bmj.326.7385.361","ISSN":"09598146","abstract":"Objectives: To identify clinical indicators of immediate, early, and late mortality in children at admission to a sub-Saharan district hospital and to develop prognostic scores. Design: Prospective cohort study. Setting: One district hospital in Kenya. Participants: Children aged over 90 days admitted to hospital from 1 July 1998 to 30 June 2001. Main outcome measures: Prognostic indicators of mortality. Results: Of 8091 children admitted up to 1 June 2000, 436 (5%) died. Sixty (14%) died within four hours after admission (immediate), 193 (44%) after 4-48 hours (early), and 183 (42%) after 48 hours (late). There were marked differences in the clinical features associated with immediate, early, and late death. Seven indicators (neurological status, respiratory distress (subcostal indrawing or deep breathing), nutritional status (wasting or kwashiorkor), severe anaemia, jaundice, axillary temperature, and length of history) were included in simplified prognostic scores. Data from 4802 children admitted from 1 July 2000 to 30 June 2001 were used to validate the scores. For simplified prognostic scores the areas under the receiver operating characteristic curves were 0.93 (95% confidence interval 0.92 to 0.94), 0.82 (0.80 to 0.83), and 0.82 (0.81 to 0.84) for immediate, early, and late death, respectively. Conclusion: In children admitted to a sub-Saharan hospital, the prognostic indicators of early and late deaths differ but a small number of simple clinical signs predict outcome well.","author":[{"dropping-particle":"","family":"Berkley","given":"J. A.","non-dropping-particle":"","parse-names":false,"suffix":""},{"dropping-particle":"","family":"Ross","given":"A.","non-dropping-particle":"","parse-names":false,"suffix":""},{"dropping-particle":"","family":"Mwangi","given":"I.","non-dropping-particle":"","parse-names":false,"suffix":""},{"dropping-particle":"","family":"Osier","given":"F. H.A.","non-dropping-particle":"","parse-names":false,"suffix":""},{"dropping-particle":"","family":"Mohammed","given":"M.","non-dropping-particle":"","parse-names":false,"suffix":""},{"dropping-particle":"","family":"Shebbe","given":"M.","non-dropping-particle":"","parse-names":false,"suffix":""},{"dropping-particle":"","family":"Lowe","given":"B. S.","non-dropping-particle":"","parse-names":false,"suffix":""},{"dropping-particle":"","family":"Marsh","given":"K.","non-dropping-particle":"","parse-names":false,"suffix":""},{"dropping-particle":"","family":"Newton","given":"C. R.J.C.","non-dropping-particle":"","parse-names":false,"suffix":""}],"container-title":"British Medical Journal","id":"ITEM-1","issue":"7385","issued":{"date-parts":[["2003","2","15"]]},"page":"361-364","title":"Prognostic indicators of early and late death in children admitted to district hospital in Kenya: Cohort study","type":"article-journal","volume":"326"},"uris":["http://www.mendeley.com/documents/?uuid=11aef162-847a-3ad0-8918-03f773590953"]}],"mendeley":{"formattedCitation":"&lt;sup&gt;40&lt;/sup&gt;","plainTextFormattedCitation":"40","previouslyFormattedCitation":"&lt;sup&gt;39&lt;/sup&gt;"},"properties":{"noteIndex":0},"schema":"https://github.com/citation-style-language/schema/raw/master/csl-citation.json"}</w:instrText>
      </w:r>
      <w:r>
        <w:rPr>
          <w:noProof/>
        </w:rPr>
        <w:fldChar w:fldCharType="separate"/>
      </w:r>
      <w:r w:rsidR="008C02B1" w:rsidRPr="008C02B1">
        <w:rPr>
          <w:noProof/>
          <w:vertAlign w:val="superscript"/>
        </w:rPr>
        <w:t>40</w:t>
      </w:r>
      <w:r>
        <w:rPr>
          <w:noProof/>
        </w:rPr>
        <w:fldChar w:fldCharType="end"/>
      </w:r>
      <w:r>
        <w:rPr>
          <w:noProof/>
        </w:rPr>
        <w:t>.</w:t>
      </w:r>
    </w:p>
    <w:p w14:paraId="5008E755" w14:textId="72B9E610" w:rsidR="004869A5" w:rsidRDefault="004869A5" w:rsidP="004869A5">
      <w:pPr>
        <w:pStyle w:val="Heading3"/>
      </w:pPr>
      <w:bookmarkStart w:id="15" w:name="_Toc64288811"/>
      <w:r>
        <w:t>Health care seeking</w:t>
      </w:r>
      <w:bookmarkEnd w:id="15"/>
    </w:p>
    <w:p w14:paraId="755A7A6A" w14:textId="027FD350" w:rsidR="004869A5" w:rsidRDefault="004869A5" w:rsidP="004869A5">
      <w:r>
        <w:t>Natural history models reflect the underlying disease conditions of a sick child, who will present for care with signs and symptoms, then based on these clinical algorithm</w:t>
      </w:r>
      <w:r w:rsidR="004F15F0">
        <w:t>s</w:t>
      </w:r>
      <w:r>
        <w:t xml:space="preserve"> and diagnostic tests, the healthcare worker will assign a disease diagnosis or classification and treat accordingly.</w:t>
      </w:r>
    </w:p>
    <w:p w14:paraId="62D06292" w14:textId="6DD1CDF8" w:rsidR="004869A5" w:rsidRDefault="004869A5" w:rsidP="004869A5">
      <w:pPr>
        <w:rPr>
          <w:noProof/>
        </w:rPr>
      </w:pPr>
      <w:r>
        <w:rPr>
          <w:szCs w:val="21"/>
        </w:rPr>
        <w:t xml:space="preserve">A set of signs and symptoms arising from </w:t>
      </w:r>
      <w:r w:rsidR="004F15F0">
        <w:rPr>
          <w:szCs w:val="21"/>
        </w:rPr>
        <w:t xml:space="preserve">the </w:t>
      </w:r>
      <w:r>
        <w:rPr>
          <w:szCs w:val="21"/>
        </w:rPr>
        <w:t xml:space="preserve">ALRI module are incorporated in the Symptoms Manager. This is </w:t>
      </w:r>
      <w:r>
        <w:rPr>
          <w:noProof/>
        </w:rPr>
        <w:t xml:space="preserve">a module in the TLO model that manges all symptoms coming from all disease modules and organises them for Health Seeking Behaviour module's use. The latter will then assign a probability of </w:t>
      </w:r>
      <w:r w:rsidRPr="006064EC">
        <w:t>care seeking based on the Ng’ambi et al.</w:t>
      </w:r>
      <w:r>
        <w:t xml:space="preserve"> </w:t>
      </w:r>
      <w:r>
        <w:rPr>
          <w:szCs w:val="21"/>
        </w:rPr>
        <w:t xml:space="preserve">2020 </w:t>
      </w:r>
      <w:r>
        <w:t>analyses</w:t>
      </w:r>
      <w:r w:rsidRPr="006064EC">
        <w:t xml:space="preserve"> of the</w:t>
      </w:r>
      <w:r>
        <w:t xml:space="preserve"> 2016</w:t>
      </w:r>
      <w:r w:rsidRPr="006064EC">
        <w:t xml:space="preserve"> Malawi Integrated Household Survey data</w:t>
      </w:r>
      <w:r>
        <w:rPr>
          <w:szCs w:val="21"/>
        </w:rPr>
        <w:fldChar w:fldCharType="begin" w:fldLock="1"/>
      </w:r>
      <w:r w:rsidR="008C02B1">
        <w:rPr>
          <w:szCs w:val="21"/>
        </w:rPr>
        <w:instrText>ADDIN CSL_CITATION {"citationItems":[{"id":"ITEM-1","itemData":{"DOI":"10.1111/tmi.13499","ISSN":"13653156","PMID":"32981174","abstract":"Objective: To characterise health seeking behaviour (HSB) and determine its predictors amongst children in Malawi in 2016. Methods: We used the 2016 Malawi Integrated Household Survey data set. The outcome of interest was HSB, defined as seeking care at a health facility amongst people who reported one or more of a list of possible symptoms given on the questionnaire in the past two weeks. We fitted a multivariate logistic regression model of HSB using a forward step-wise selection method, with age, sex and symptoms entered as a priori variables. Results: Of 5350 children, 1666 (32%) had symptoms in the past two weeks. Of the 1666, 1008 (61%) sought care at health facility. The children aged 5–14 years were less likely to be taken to health facilities for health care than those aged 0–4 years. Having fever vs. not having fever and having a skin problem vs. not having skin problem were associated with increased likelihood of HSB. Having a headache vs. not having a headache was associated with lower likelihood of accessing care at health facilities (AOR = 0.50, 95% CI: 0.26–0.96, P = 0.04). Children from urban areas were more likely to be taken to health facilities for health care (AOR = 1.81, 95% CI: 1.17–2.85, P = 0.008), as were children from households with a high wealth status (AOR = 1.86, 95% CI: 1.25–2.78, P = 0.02). Conclusion: There is a need to understand and address individual, socio-economic and geographical barriers to health seeking to increase access and use of health care and fast-track progress towards Universal Health Coverage.","author":[{"dropping-particle":"","family":"Ng'ambi","given":"Wingston","non-dropping-particle":"","parse-names":false,"suffix":""},{"dropping-particle":"","family":"Mangal","given":"Tara","non-dropping-particle":"","parse-names":false,"suffix":""},{"dropping-particle":"","family":"Phillips","given":"Andrew","non-dropping-particle":"","parse-names":false,"suffix":""},{"dropping-particle":"","family":"Colbourn","given":"Tim","non-dropping-particle":"","parse-names":false,"suffix":""},{"dropping-particle":"","family":"Mfutso-Bengo","given":"Joseph","non-dropping-particle":"","parse-names":false,"suffix":""},{"dropping-particle":"","family":"Revill","given":"Paul","non-dropping-particle":"","parse-names":false,"suffix":""},{"dropping-particle":"","family":"Hallett","given":"Timothy B.","non-dropping-particle":"","parse-names":false,"suffix":""}],"container-title":"Tropical Medicine and International Health","id":"ITEM-1","issued":{"date-parts":[["2020"]]},"publisher":"Blackwell Publishing Ltd","title":"Factors associated with healthcare seeking behaviour for children in Malawi: 2016","type":"article-journal"},"uris":["http://www.mendeley.com/documents/?uuid=1eebd072-fd27-3cf9-b3ca-a7800b3e3f08"]}],"mendeley":{"formattedCitation":"&lt;sup&gt;41&lt;/sup&gt;","plainTextFormattedCitation":"41","previouslyFormattedCitation":"&lt;sup&gt;40&lt;/sup&gt;"},"properties":{"noteIndex":0},"schema":"https://github.com/citation-style-language/schema/raw/master/csl-citation.json"}</w:instrText>
      </w:r>
      <w:r>
        <w:rPr>
          <w:szCs w:val="21"/>
        </w:rPr>
        <w:fldChar w:fldCharType="separate"/>
      </w:r>
      <w:r w:rsidR="008C02B1" w:rsidRPr="008C02B1">
        <w:rPr>
          <w:noProof/>
          <w:szCs w:val="21"/>
          <w:vertAlign w:val="superscript"/>
        </w:rPr>
        <w:t>41</w:t>
      </w:r>
      <w:r>
        <w:rPr>
          <w:szCs w:val="21"/>
        </w:rPr>
        <w:fldChar w:fldCharType="end"/>
      </w:r>
      <w:r>
        <w:rPr>
          <w:szCs w:val="21"/>
        </w:rPr>
        <w:t>. Those who sought care will then interact will the health system.</w:t>
      </w:r>
    </w:p>
    <w:p w14:paraId="7E634C16" w14:textId="5E09833C" w:rsidR="00B8648D" w:rsidRDefault="004869A5" w:rsidP="00521AC9">
      <w:r>
        <w:rPr>
          <w:szCs w:val="21"/>
        </w:rPr>
        <w:t>The ALRI module generates a range of signs and symptoms.</w:t>
      </w:r>
      <w:r w:rsidR="00E31097">
        <w:t xml:space="preserve"> The probability of developing a particular symptom is yet to be determined. This will require review of studies with published data on proportion of each symptom displayed by cases, to then be correlated to IMCI clinical algorithm. </w:t>
      </w:r>
      <w:r w:rsidR="000F21E6">
        <w:t xml:space="preserve">Currently, the signs and symptoms </w:t>
      </w:r>
      <w:r w:rsidR="00521AC9">
        <w:t>developed by a</w:t>
      </w:r>
      <w:r w:rsidR="000F21E6">
        <w:t xml:space="preserve"> child with</w:t>
      </w:r>
      <w:r>
        <w:t xml:space="preserve"> uncomplicated</w:t>
      </w:r>
      <w:r w:rsidR="000F21E6">
        <w:t xml:space="preserve"> ALRI</w:t>
      </w:r>
      <w:r w:rsidR="00521AC9">
        <w:t xml:space="preserve"> are listed in Table 9, with dummy values for their probabilities.</w:t>
      </w:r>
    </w:p>
    <w:p w14:paraId="081AA9A2" w14:textId="2C91EBC9" w:rsidR="00B8648D" w:rsidRDefault="00B8648D" w:rsidP="00B8648D">
      <w:pPr>
        <w:pStyle w:val="Caption"/>
        <w:keepNext/>
      </w:pPr>
      <w:r>
        <w:t xml:space="preserve">Table </w:t>
      </w:r>
      <w:r w:rsidR="00E018E1">
        <w:fldChar w:fldCharType="begin"/>
      </w:r>
      <w:r w:rsidR="00E018E1">
        <w:instrText xml:space="preserve"> SEQ Table \* ARABIC </w:instrText>
      </w:r>
      <w:r w:rsidR="00E018E1">
        <w:fldChar w:fldCharType="separate"/>
      </w:r>
      <w:r w:rsidR="000979B2">
        <w:rPr>
          <w:noProof/>
        </w:rPr>
        <w:t>9</w:t>
      </w:r>
      <w:r w:rsidR="00E018E1">
        <w:rPr>
          <w:noProof/>
        </w:rPr>
        <w:fldChar w:fldCharType="end"/>
      </w:r>
      <w:r>
        <w:t xml:space="preserve"> – Probabilities of each disease state developing each symptom</w:t>
      </w:r>
    </w:p>
    <w:tbl>
      <w:tblPr>
        <w:tblW w:w="6989" w:type="dxa"/>
        <w:tblInd w:w="-10" w:type="dxa"/>
        <w:tblLook w:val="04A0" w:firstRow="1" w:lastRow="0" w:firstColumn="1" w:lastColumn="0" w:noHBand="0" w:noVBand="1"/>
      </w:tblPr>
      <w:tblGrid>
        <w:gridCol w:w="3040"/>
        <w:gridCol w:w="1300"/>
        <w:gridCol w:w="1300"/>
        <w:gridCol w:w="1349"/>
      </w:tblGrid>
      <w:tr w:rsidR="00B8648D" w:rsidRPr="00B8648D" w14:paraId="3CEBFC66" w14:textId="77777777" w:rsidTr="00B8648D">
        <w:trPr>
          <w:gridBefore w:val="1"/>
          <w:wBefore w:w="3040" w:type="dxa"/>
          <w:trHeight w:val="320"/>
        </w:trPr>
        <w:tc>
          <w:tcPr>
            <w:tcW w:w="3949" w:type="dxa"/>
            <w:gridSpan w:val="3"/>
            <w:tcBorders>
              <w:top w:val="single" w:sz="8" w:space="0" w:color="auto"/>
              <w:left w:val="single" w:sz="8" w:space="0" w:color="auto"/>
              <w:bottom w:val="single" w:sz="8" w:space="0" w:color="auto"/>
              <w:right w:val="single" w:sz="8" w:space="0" w:color="000000"/>
            </w:tcBorders>
            <w:shd w:val="clear" w:color="000000" w:fill="A9D08E"/>
            <w:noWrap/>
            <w:vAlign w:val="center"/>
            <w:hideMark/>
          </w:tcPr>
          <w:p w14:paraId="4DAB3A64" w14:textId="77777777" w:rsidR="00B8648D" w:rsidRPr="00B8648D" w:rsidRDefault="00B8648D" w:rsidP="00B8648D">
            <w:pPr>
              <w:spacing w:after="0" w:line="240" w:lineRule="auto"/>
              <w:ind w:firstLine="0"/>
              <w:contextualSpacing w:val="0"/>
              <w:jc w:val="center"/>
              <w:rPr>
                <w:rFonts w:eastAsia="Times New Roman" w:cs="Arial"/>
                <w:b/>
                <w:bCs/>
                <w:color w:val="000000"/>
                <w:sz w:val="21"/>
                <w:szCs w:val="21"/>
                <w:lang w:eastAsia="en-GB"/>
              </w:rPr>
            </w:pPr>
            <w:r w:rsidRPr="00B8648D">
              <w:rPr>
                <w:rFonts w:eastAsia="Times New Roman" w:cs="Arial"/>
                <w:b/>
                <w:bCs/>
                <w:color w:val="000000"/>
                <w:sz w:val="21"/>
                <w:szCs w:val="21"/>
                <w:lang w:eastAsia="en-GB"/>
              </w:rPr>
              <w:t>Uncomplicated ALRI</w:t>
            </w:r>
          </w:p>
        </w:tc>
      </w:tr>
      <w:tr w:rsidR="00B8648D" w:rsidRPr="00B8648D" w14:paraId="1656098E" w14:textId="77777777" w:rsidTr="00B8648D">
        <w:trPr>
          <w:trHeight w:val="550"/>
        </w:trPr>
        <w:tc>
          <w:tcPr>
            <w:tcW w:w="3040"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443EA860" w14:textId="77777777" w:rsidR="00B8648D" w:rsidRPr="00B8648D" w:rsidRDefault="00B8648D" w:rsidP="00B8648D">
            <w:pPr>
              <w:spacing w:after="0" w:line="240" w:lineRule="auto"/>
              <w:ind w:firstLine="0"/>
              <w:contextualSpacing w:val="0"/>
              <w:jc w:val="left"/>
              <w:rPr>
                <w:rFonts w:eastAsia="Times New Roman" w:cs="Arial"/>
                <w:b/>
                <w:bCs/>
                <w:color w:val="000000"/>
                <w:sz w:val="21"/>
                <w:szCs w:val="21"/>
                <w:lang w:eastAsia="en-GB"/>
              </w:rPr>
            </w:pPr>
            <w:r w:rsidRPr="00B8648D">
              <w:rPr>
                <w:rFonts w:eastAsia="Times New Roman" w:cs="Arial"/>
                <w:b/>
                <w:bCs/>
                <w:color w:val="000000"/>
                <w:sz w:val="21"/>
                <w:szCs w:val="21"/>
                <w:lang w:eastAsia="en-GB"/>
              </w:rPr>
              <w:t>Signs and Symptoms</w:t>
            </w:r>
          </w:p>
        </w:tc>
        <w:tc>
          <w:tcPr>
            <w:tcW w:w="1300" w:type="dxa"/>
            <w:tcBorders>
              <w:top w:val="nil"/>
              <w:left w:val="nil"/>
              <w:bottom w:val="single" w:sz="8" w:space="0" w:color="auto"/>
              <w:right w:val="single" w:sz="4" w:space="0" w:color="auto"/>
            </w:tcBorders>
            <w:shd w:val="clear" w:color="000000" w:fill="E2EFDA"/>
            <w:vAlign w:val="center"/>
            <w:hideMark/>
          </w:tcPr>
          <w:p w14:paraId="32CE441E" w14:textId="77777777" w:rsidR="00B8648D" w:rsidRPr="00B8648D" w:rsidRDefault="00B8648D" w:rsidP="00B8648D">
            <w:pPr>
              <w:spacing w:after="0" w:line="240" w:lineRule="auto"/>
              <w:ind w:firstLine="0"/>
              <w:contextualSpacing w:val="0"/>
              <w:jc w:val="left"/>
              <w:rPr>
                <w:rFonts w:eastAsia="Times New Roman" w:cs="Arial"/>
                <w:color w:val="000000"/>
                <w:sz w:val="21"/>
                <w:szCs w:val="21"/>
                <w:lang w:eastAsia="en-GB"/>
              </w:rPr>
            </w:pPr>
            <w:r w:rsidRPr="00B8648D">
              <w:rPr>
                <w:rFonts w:eastAsia="Times New Roman" w:cs="Arial"/>
                <w:color w:val="000000"/>
                <w:sz w:val="21"/>
                <w:szCs w:val="21"/>
                <w:lang w:eastAsia="en-GB"/>
              </w:rPr>
              <w:t>Viral Pneumonia</w:t>
            </w:r>
          </w:p>
        </w:tc>
        <w:tc>
          <w:tcPr>
            <w:tcW w:w="1300" w:type="dxa"/>
            <w:tcBorders>
              <w:top w:val="nil"/>
              <w:left w:val="nil"/>
              <w:bottom w:val="single" w:sz="8" w:space="0" w:color="auto"/>
              <w:right w:val="single" w:sz="4" w:space="0" w:color="auto"/>
            </w:tcBorders>
            <w:shd w:val="clear" w:color="000000" w:fill="E2EFDA"/>
            <w:vAlign w:val="center"/>
            <w:hideMark/>
          </w:tcPr>
          <w:p w14:paraId="2E17F330" w14:textId="77777777" w:rsidR="00B8648D" w:rsidRPr="00B8648D" w:rsidRDefault="00B8648D" w:rsidP="00B8648D">
            <w:pPr>
              <w:spacing w:after="0" w:line="240" w:lineRule="auto"/>
              <w:ind w:firstLine="0"/>
              <w:contextualSpacing w:val="0"/>
              <w:jc w:val="left"/>
              <w:rPr>
                <w:rFonts w:eastAsia="Times New Roman" w:cs="Arial"/>
                <w:color w:val="000000"/>
                <w:sz w:val="21"/>
                <w:szCs w:val="21"/>
                <w:lang w:eastAsia="en-GB"/>
              </w:rPr>
            </w:pPr>
            <w:r w:rsidRPr="00B8648D">
              <w:rPr>
                <w:rFonts w:eastAsia="Times New Roman" w:cs="Arial"/>
                <w:color w:val="000000"/>
                <w:sz w:val="21"/>
                <w:szCs w:val="21"/>
                <w:lang w:eastAsia="en-GB"/>
              </w:rPr>
              <w:t>Bacterial Pneumonia</w:t>
            </w:r>
          </w:p>
        </w:tc>
        <w:tc>
          <w:tcPr>
            <w:tcW w:w="1349" w:type="dxa"/>
            <w:tcBorders>
              <w:top w:val="nil"/>
              <w:left w:val="nil"/>
              <w:bottom w:val="single" w:sz="8" w:space="0" w:color="auto"/>
              <w:right w:val="single" w:sz="8" w:space="0" w:color="auto"/>
            </w:tcBorders>
            <w:shd w:val="clear" w:color="000000" w:fill="E2EFDA"/>
            <w:vAlign w:val="center"/>
            <w:hideMark/>
          </w:tcPr>
          <w:p w14:paraId="67D94C6E" w14:textId="77777777" w:rsidR="00B8648D" w:rsidRPr="00B8648D" w:rsidRDefault="00B8648D" w:rsidP="00B8648D">
            <w:pPr>
              <w:spacing w:after="0" w:line="240" w:lineRule="auto"/>
              <w:ind w:firstLine="0"/>
              <w:contextualSpacing w:val="0"/>
              <w:jc w:val="left"/>
              <w:rPr>
                <w:rFonts w:eastAsia="Times New Roman" w:cs="Arial"/>
                <w:color w:val="000000"/>
                <w:sz w:val="21"/>
                <w:szCs w:val="21"/>
                <w:lang w:eastAsia="en-GB"/>
              </w:rPr>
            </w:pPr>
            <w:r w:rsidRPr="00B8648D">
              <w:rPr>
                <w:rFonts w:eastAsia="Times New Roman" w:cs="Arial"/>
                <w:color w:val="000000"/>
                <w:sz w:val="21"/>
                <w:szCs w:val="21"/>
                <w:lang w:eastAsia="en-GB"/>
              </w:rPr>
              <w:t>Bronchiolitis</w:t>
            </w:r>
          </w:p>
        </w:tc>
      </w:tr>
      <w:tr w:rsidR="00B8648D" w:rsidRPr="00B8648D" w14:paraId="120308EA" w14:textId="77777777" w:rsidTr="00B8648D">
        <w:trPr>
          <w:trHeight w:val="310"/>
        </w:trPr>
        <w:tc>
          <w:tcPr>
            <w:tcW w:w="3040" w:type="dxa"/>
            <w:tcBorders>
              <w:top w:val="nil"/>
              <w:left w:val="single" w:sz="8" w:space="0" w:color="auto"/>
              <w:bottom w:val="single" w:sz="4" w:space="0" w:color="auto"/>
              <w:right w:val="single" w:sz="4" w:space="0" w:color="auto"/>
            </w:tcBorders>
            <w:shd w:val="clear" w:color="auto" w:fill="auto"/>
            <w:noWrap/>
            <w:vAlign w:val="center"/>
            <w:hideMark/>
          </w:tcPr>
          <w:p w14:paraId="7DB94E25" w14:textId="77777777" w:rsidR="00B8648D" w:rsidRPr="00B8648D" w:rsidRDefault="00B8648D" w:rsidP="00B8648D">
            <w:pPr>
              <w:spacing w:after="0" w:line="240" w:lineRule="auto"/>
              <w:ind w:firstLine="0"/>
              <w:contextualSpacing w:val="0"/>
              <w:jc w:val="left"/>
              <w:rPr>
                <w:rFonts w:eastAsia="Times New Roman" w:cs="Arial"/>
                <w:color w:val="000000"/>
                <w:sz w:val="21"/>
                <w:szCs w:val="21"/>
                <w:lang w:eastAsia="en-GB"/>
              </w:rPr>
            </w:pPr>
            <w:r w:rsidRPr="00B8648D">
              <w:rPr>
                <w:rFonts w:eastAsia="Times New Roman" w:cs="Arial"/>
                <w:color w:val="000000"/>
                <w:sz w:val="21"/>
                <w:szCs w:val="21"/>
                <w:lang w:eastAsia="en-GB"/>
              </w:rPr>
              <w:t>fever</w:t>
            </w:r>
          </w:p>
        </w:tc>
        <w:tc>
          <w:tcPr>
            <w:tcW w:w="1300" w:type="dxa"/>
            <w:tcBorders>
              <w:top w:val="nil"/>
              <w:left w:val="nil"/>
              <w:bottom w:val="single" w:sz="4" w:space="0" w:color="auto"/>
              <w:right w:val="single" w:sz="4" w:space="0" w:color="auto"/>
            </w:tcBorders>
            <w:shd w:val="clear" w:color="auto" w:fill="auto"/>
            <w:noWrap/>
            <w:vAlign w:val="center"/>
            <w:hideMark/>
          </w:tcPr>
          <w:p w14:paraId="48F7DF2C"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0.6</w:t>
            </w:r>
          </w:p>
        </w:tc>
        <w:tc>
          <w:tcPr>
            <w:tcW w:w="1300" w:type="dxa"/>
            <w:tcBorders>
              <w:top w:val="nil"/>
              <w:left w:val="nil"/>
              <w:bottom w:val="single" w:sz="4" w:space="0" w:color="auto"/>
              <w:right w:val="single" w:sz="4" w:space="0" w:color="auto"/>
            </w:tcBorders>
            <w:shd w:val="clear" w:color="auto" w:fill="auto"/>
            <w:noWrap/>
            <w:vAlign w:val="center"/>
            <w:hideMark/>
          </w:tcPr>
          <w:p w14:paraId="68396D07"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0.8</w:t>
            </w:r>
          </w:p>
        </w:tc>
        <w:tc>
          <w:tcPr>
            <w:tcW w:w="1349" w:type="dxa"/>
            <w:tcBorders>
              <w:top w:val="nil"/>
              <w:left w:val="nil"/>
              <w:bottom w:val="single" w:sz="4" w:space="0" w:color="auto"/>
              <w:right w:val="single" w:sz="8" w:space="0" w:color="auto"/>
            </w:tcBorders>
            <w:shd w:val="clear" w:color="auto" w:fill="auto"/>
            <w:noWrap/>
            <w:vAlign w:val="center"/>
            <w:hideMark/>
          </w:tcPr>
          <w:p w14:paraId="7E18A1C5"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0.4</w:t>
            </w:r>
          </w:p>
        </w:tc>
      </w:tr>
      <w:tr w:rsidR="00B8648D" w:rsidRPr="00B8648D" w14:paraId="5E7956F3" w14:textId="77777777" w:rsidTr="00B8648D">
        <w:trPr>
          <w:trHeight w:val="310"/>
        </w:trPr>
        <w:tc>
          <w:tcPr>
            <w:tcW w:w="3040" w:type="dxa"/>
            <w:tcBorders>
              <w:top w:val="nil"/>
              <w:left w:val="single" w:sz="8" w:space="0" w:color="auto"/>
              <w:bottom w:val="single" w:sz="4" w:space="0" w:color="auto"/>
              <w:right w:val="single" w:sz="4" w:space="0" w:color="auto"/>
            </w:tcBorders>
            <w:shd w:val="clear" w:color="auto" w:fill="auto"/>
            <w:noWrap/>
            <w:vAlign w:val="center"/>
            <w:hideMark/>
          </w:tcPr>
          <w:p w14:paraId="1979C6B6" w14:textId="77777777" w:rsidR="00B8648D" w:rsidRPr="00B8648D" w:rsidRDefault="00B8648D" w:rsidP="00B8648D">
            <w:pPr>
              <w:spacing w:after="0" w:line="240" w:lineRule="auto"/>
              <w:ind w:firstLine="0"/>
              <w:contextualSpacing w:val="0"/>
              <w:jc w:val="left"/>
              <w:rPr>
                <w:rFonts w:eastAsia="Times New Roman" w:cs="Arial"/>
                <w:color w:val="000000"/>
                <w:sz w:val="21"/>
                <w:szCs w:val="21"/>
                <w:lang w:eastAsia="en-GB"/>
              </w:rPr>
            </w:pPr>
            <w:r w:rsidRPr="00B8648D">
              <w:rPr>
                <w:rFonts w:eastAsia="Times New Roman" w:cs="Arial"/>
                <w:color w:val="000000"/>
                <w:sz w:val="21"/>
                <w:szCs w:val="21"/>
                <w:lang w:eastAsia="en-GB"/>
              </w:rPr>
              <w:t>cough</w:t>
            </w:r>
          </w:p>
        </w:tc>
        <w:tc>
          <w:tcPr>
            <w:tcW w:w="1300" w:type="dxa"/>
            <w:tcBorders>
              <w:top w:val="nil"/>
              <w:left w:val="nil"/>
              <w:bottom w:val="single" w:sz="4" w:space="0" w:color="auto"/>
              <w:right w:val="single" w:sz="4" w:space="0" w:color="auto"/>
            </w:tcBorders>
            <w:shd w:val="clear" w:color="auto" w:fill="auto"/>
            <w:noWrap/>
            <w:vAlign w:val="center"/>
            <w:hideMark/>
          </w:tcPr>
          <w:p w14:paraId="6FC8F574"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0.9</w:t>
            </w:r>
          </w:p>
        </w:tc>
        <w:tc>
          <w:tcPr>
            <w:tcW w:w="1300" w:type="dxa"/>
            <w:tcBorders>
              <w:top w:val="nil"/>
              <w:left w:val="nil"/>
              <w:bottom w:val="single" w:sz="4" w:space="0" w:color="auto"/>
              <w:right w:val="single" w:sz="4" w:space="0" w:color="auto"/>
            </w:tcBorders>
            <w:shd w:val="clear" w:color="auto" w:fill="auto"/>
            <w:noWrap/>
            <w:vAlign w:val="center"/>
            <w:hideMark/>
          </w:tcPr>
          <w:p w14:paraId="0B7D4BF8"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0.9</w:t>
            </w:r>
          </w:p>
        </w:tc>
        <w:tc>
          <w:tcPr>
            <w:tcW w:w="1349" w:type="dxa"/>
            <w:tcBorders>
              <w:top w:val="nil"/>
              <w:left w:val="nil"/>
              <w:bottom w:val="single" w:sz="4" w:space="0" w:color="auto"/>
              <w:right w:val="single" w:sz="8" w:space="0" w:color="auto"/>
            </w:tcBorders>
            <w:shd w:val="clear" w:color="auto" w:fill="auto"/>
            <w:noWrap/>
            <w:vAlign w:val="center"/>
            <w:hideMark/>
          </w:tcPr>
          <w:p w14:paraId="60D82110"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0.9</w:t>
            </w:r>
          </w:p>
        </w:tc>
      </w:tr>
      <w:tr w:rsidR="00B8648D" w:rsidRPr="00B8648D" w14:paraId="40DB7BC5" w14:textId="77777777" w:rsidTr="00B8648D">
        <w:trPr>
          <w:trHeight w:val="310"/>
        </w:trPr>
        <w:tc>
          <w:tcPr>
            <w:tcW w:w="3040" w:type="dxa"/>
            <w:tcBorders>
              <w:top w:val="nil"/>
              <w:left w:val="single" w:sz="8" w:space="0" w:color="auto"/>
              <w:bottom w:val="single" w:sz="4" w:space="0" w:color="auto"/>
              <w:right w:val="single" w:sz="4" w:space="0" w:color="auto"/>
            </w:tcBorders>
            <w:shd w:val="clear" w:color="auto" w:fill="auto"/>
            <w:noWrap/>
            <w:vAlign w:val="center"/>
            <w:hideMark/>
          </w:tcPr>
          <w:p w14:paraId="700996F2" w14:textId="6E077018" w:rsidR="00B8648D" w:rsidRPr="00B8648D" w:rsidRDefault="00521AC9" w:rsidP="00B8648D">
            <w:pPr>
              <w:spacing w:after="0" w:line="240" w:lineRule="auto"/>
              <w:ind w:firstLine="0"/>
              <w:contextualSpacing w:val="0"/>
              <w:jc w:val="left"/>
              <w:rPr>
                <w:rFonts w:eastAsia="Times New Roman" w:cs="Arial"/>
                <w:color w:val="000000"/>
                <w:sz w:val="21"/>
                <w:szCs w:val="21"/>
                <w:lang w:eastAsia="en-GB"/>
              </w:rPr>
            </w:pPr>
            <w:r>
              <w:rPr>
                <w:rFonts w:eastAsia="Times New Roman" w:cs="Arial"/>
                <w:color w:val="000000"/>
                <w:sz w:val="21"/>
                <w:szCs w:val="21"/>
                <w:lang w:eastAsia="en-GB"/>
              </w:rPr>
              <w:t xml:space="preserve">difficult </w:t>
            </w:r>
            <w:r w:rsidR="00B8648D" w:rsidRPr="00B8648D">
              <w:rPr>
                <w:rFonts w:eastAsia="Times New Roman" w:cs="Arial"/>
                <w:color w:val="000000"/>
                <w:sz w:val="21"/>
                <w:szCs w:val="21"/>
                <w:lang w:eastAsia="en-GB"/>
              </w:rPr>
              <w:t>breathing</w:t>
            </w:r>
          </w:p>
        </w:tc>
        <w:tc>
          <w:tcPr>
            <w:tcW w:w="1300" w:type="dxa"/>
            <w:tcBorders>
              <w:top w:val="nil"/>
              <w:left w:val="nil"/>
              <w:bottom w:val="single" w:sz="4" w:space="0" w:color="auto"/>
              <w:right w:val="single" w:sz="4" w:space="0" w:color="auto"/>
            </w:tcBorders>
            <w:shd w:val="clear" w:color="auto" w:fill="auto"/>
            <w:noWrap/>
            <w:vAlign w:val="center"/>
            <w:hideMark/>
          </w:tcPr>
          <w:p w14:paraId="3AF0A69E"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0.9</w:t>
            </w:r>
          </w:p>
        </w:tc>
        <w:tc>
          <w:tcPr>
            <w:tcW w:w="1300" w:type="dxa"/>
            <w:tcBorders>
              <w:top w:val="nil"/>
              <w:left w:val="nil"/>
              <w:bottom w:val="single" w:sz="4" w:space="0" w:color="auto"/>
              <w:right w:val="single" w:sz="4" w:space="0" w:color="auto"/>
            </w:tcBorders>
            <w:shd w:val="clear" w:color="auto" w:fill="auto"/>
            <w:noWrap/>
            <w:vAlign w:val="center"/>
            <w:hideMark/>
          </w:tcPr>
          <w:p w14:paraId="3D34DA09"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0.9</w:t>
            </w:r>
          </w:p>
        </w:tc>
        <w:tc>
          <w:tcPr>
            <w:tcW w:w="1349" w:type="dxa"/>
            <w:tcBorders>
              <w:top w:val="nil"/>
              <w:left w:val="nil"/>
              <w:bottom w:val="single" w:sz="4" w:space="0" w:color="auto"/>
              <w:right w:val="single" w:sz="8" w:space="0" w:color="auto"/>
            </w:tcBorders>
            <w:shd w:val="clear" w:color="auto" w:fill="auto"/>
            <w:noWrap/>
            <w:vAlign w:val="center"/>
            <w:hideMark/>
          </w:tcPr>
          <w:p w14:paraId="2F9D4E8E"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0.9</w:t>
            </w:r>
          </w:p>
        </w:tc>
      </w:tr>
      <w:tr w:rsidR="00B8648D" w:rsidRPr="00B8648D" w14:paraId="547EC4F4" w14:textId="77777777" w:rsidTr="00B8648D">
        <w:trPr>
          <w:trHeight w:val="310"/>
        </w:trPr>
        <w:tc>
          <w:tcPr>
            <w:tcW w:w="3040" w:type="dxa"/>
            <w:tcBorders>
              <w:top w:val="nil"/>
              <w:left w:val="single" w:sz="8" w:space="0" w:color="auto"/>
              <w:bottom w:val="single" w:sz="4" w:space="0" w:color="auto"/>
              <w:right w:val="single" w:sz="4" w:space="0" w:color="auto"/>
            </w:tcBorders>
            <w:shd w:val="clear" w:color="auto" w:fill="auto"/>
            <w:noWrap/>
            <w:vAlign w:val="center"/>
            <w:hideMark/>
          </w:tcPr>
          <w:p w14:paraId="3F281AC5" w14:textId="77777777" w:rsidR="00B8648D" w:rsidRPr="00B8648D" w:rsidRDefault="00B8648D" w:rsidP="00B8648D">
            <w:pPr>
              <w:spacing w:after="0" w:line="240" w:lineRule="auto"/>
              <w:ind w:firstLine="0"/>
              <w:contextualSpacing w:val="0"/>
              <w:jc w:val="left"/>
              <w:rPr>
                <w:rFonts w:eastAsia="Times New Roman" w:cs="Arial"/>
                <w:color w:val="000000"/>
                <w:sz w:val="21"/>
                <w:szCs w:val="21"/>
                <w:lang w:eastAsia="en-GB"/>
              </w:rPr>
            </w:pPr>
            <w:r w:rsidRPr="00B8648D">
              <w:rPr>
                <w:rFonts w:eastAsia="Times New Roman" w:cs="Arial"/>
                <w:color w:val="000000"/>
                <w:sz w:val="21"/>
                <w:szCs w:val="21"/>
                <w:lang w:eastAsia="en-GB"/>
              </w:rPr>
              <w:t>tachypnoea</w:t>
            </w:r>
          </w:p>
        </w:tc>
        <w:tc>
          <w:tcPr>
            <w:tcW w:w="1300" w:type="dxa"/>
            <w:tcBorders>
              <w:top w:val="nil"/>
              <w:left w:val="nil"/>
              <w:bottom w:val="single" w:sz="4" w:space="0" w:color="auto"/>
              <w:right w:val="single" w:sz="4" w:space="0" w:color="auto"/>
            </w:tcBorders>
            <w:shd w:val="clear" w:color="auto" w:fill="auto"/>
            <w:noWrap/>
            <w:vAlign w:val="center"/>
            <w:hideMark/>
          </w:tcPr>
          <w:p w14:paraId="0097C81E"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0.9</w:t>
            </w:r>
          </w:p>
        </w:tc>
        <w:tc>
          <w:tcPr>
            <w:tcW w:w="1300" w:type="dxa"/>
            <w:tcBorders>
              <w:top w:val="nil"/>
              <w:left w:val="nil"/>
              <w:bottom w:val="single" w:sz="4" w:space="0" w:color="auto"/>
              <w:right w:val="single" w:sz="4" w:space="0" w:color="auto"/>
            </w:tcBorders>
            <w:shd w:val="clear" w:color="auto" w:fill="auto"/>
            <w:noWrap/>
            <w:vAlign w:val="center"/>
            <w:hideMark/>
          </w:tcPr>
          <w:p w14:paraId="59E4E47D"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0.9</w:t>
            </w:r>
          </w:p>
        </w:tc>
        <w:tc>
          <w:tcPr>
            <w:tcW w:w="1349" w:type="dxa"/>
            <w:tcBorders>
              <w:top w:val="nil"/>
              <w:left w:val="nil"/>
              <w:bottom w:val="single" w:sz="4" w:space="0" w:color="auto"/>
              <w:right w:val="single" w:sz="8" w:space="0" w:color="auto"/>
            </w:tcBorders>
            <w:shd w:val="clear" w:color="auto" w:fill="auto"/>
            <w:noWrap/>
            <w:vAlign w:val="center"/>
            <w:hideMark/>
          </w:tcPr>
          <w:p w14:paraId="3D1E7517"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0.9</w:t>
            </w:r>
          </w:p>
        </w:tc>
      </w:tr>
      <w:tr w:rsidR="00B8648D" w:rsidRPr="00B8648D" w14:paraId="4381A454" w14:textId="77777777" w:rsidTr="00B8648D">
        <w:trPr>
          <w:trHeight w:val="310"/>
        </w:trPr>
        <w:tc>
          <w:tcPr>
            <w:tcW w:w="3040" w:type="dxa"/>
            <w:tcBorders>
              <w:top w:val="nil"/>
              <w:left w:val="single" w:sz="8" w:space="0" w:color="auto"/>
              <w:bottom w:val="single" w:sz="4" w:space="0" w:color="auto"/>
              <w:right w:val="single" w:sz="4" w:space="0" w:color="auto"/>
            </w:tcBorders>
            <w:shd w:val="clear" w:color="auto" w:fill="auto"/>
            <w:noWrap/>
            <w:vAlign w:val="center"/>
            <w:hideMark/>
          </w:tcPr>
          <w:p w14:paraId="1E569710" w14:textId="77777777" w:rsidR="00B8648D" w:rsidRPr="00B8648D" w:rsidRDefault="00B8648D" w:rsidP="00B8648D">
            <w:pPr>
              <w:spacing w:after="0" w:line="240" w:lineRule="auto"/>
              <w:ind w:firstLine="0"/>
              <w:contextualSpacing w:val="0"/>
              <w:jc w:val="left"/>
              <w:rPr>
                <w:rFonts w:eastAsia="Times New Roman" w:cs="Arial"/>
                <w:color w:val="000000"/>
                <w:sz w:val="21"/>
                <w:szCs w:val="21"/>
                <w:lang w:eastAsia="en-GB"/>
              </w:rPr>
            </w:pPr>
            <w:r w:rsidRPr="00B8648D">
              <w:rPr>
                <w:rFonts w:eastAsia="Times New Roman" w:cs="Arial"/>
                <w:color w:val="000000"/>
                <w:sz w:val="21"/>
                <w:szCs w:val="21"/>
                <w:lang w:eastAsia="en-GB"/>
              </w:rPr>
              <w:t>chest wall indrawing</w:t>
            </w:r>
          </w:p>
        </w:tc>
        <w:tc>
          <w:tcPr>
            <w:tcW w:w="1300" w:type="dxa"/>
            <w:tcBorders>
              <w:top w:val="nil"/>
              <w:left w:val="nil"/>
              <w:bottom w:val="single" w:sz="4" w:space="0" w:color="auto"/>
              <w:right w:val="single" w:sz="4" w:space="0" w:color="auto"/>
            </w:tcBorders>
            <w:shd w:val="clear" w:color="auto" w:fill="auto"/>
            <w:noWrap/>
            <w:vAlign w:val="center"/>
            <w:hideMark/>
          </w:tcPr>
          <w:p w14:paraId="7AEE1328"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0.6</w:t>
            </w:r>
          </w:p>
        </w:tc>
        <w:tc>
          <w:tcPr>
            <w:tcW w:w="1300" w:type="dxa"/>
            <w:tcBorders>
              <w:top w:val="nil"/>
              <w:left w:val="nil"/>
              <w:bottom w:val="single" w:sz="4" w:space="0" w:color="auto"/>
              <w:right w:val="single" w:sz="4" w:space="0" w:color="auto"/>
            </w:tcBorders>
            <w:shd w:val="clear" w:color="auto" w:fill="auto"/>
            <w:noWrap/>
            <w:vAlign w:val="center"/>
            <w:hideMark/>
          </w:tcPr>
          <w:p w14:paraId="1A61D746"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0.6</w:t>
            </w:r>
          </w:p>
        </w:tc>
        <w:tc>
          <w:tcPr>
            <w:tcW w:w="1349" w:type="dxa"/>
            <w:tcBorders>
              <w:top w:val="nil"/>
              <w:left w:val="nil"/>
              <w:bottom w:val="single" w:sz="4" w:space="0" w:color="auto"/>
              <w:right w:val="single" w:sz="8" w:space="0" w:color="auto"/>
            </w:tcBorders>
            <w:shd w:val="clear" w:color="auto" w:fill="auto"/>
            <w:noWrap/>
            <w:vAlign w:val="center"/>
            <w:hideMark/>
          </w:tcPr>
          <w:p w14:paraId="368C6814"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0.4</w:t>
            </w:r>
          </w:p>
        </w:tc>
      </w:tr>
      <w:tr w:rsidR="00B8648D" w:rsidRPr="00B8648D" w14:paraId="13352BFB" w14:textId="77777777" w:rsidTr="00B8648D">
        <w:trPr>
          <w:trHeight w:val="310"/>
        </w:trPr>
        <w:tc>
          <w:tcPr>
            <w:tcW w:w="3040" w:type="dxa"/>
            <w:tcBorders>
              <w:top w:val="nil"/>
              <w:left w:val="single" w:sz="8" w:space="0" w:color="auto"/>
              <w:bottom w:val="single" w:sz="4" w:space="0" w:color="auto"/>
              <w:right w:val="single" w:sz="4" w:space="0" w:color="auto"/>
            </w:tcBorders>
            <w:shd w:val="clear" w:color="auto" w:fill="auto"/>
            <w:noWrap/>
            <w:vAlign w:val="center"/>
            <w:hideMark/>
          </w:tcPr>
          <w:p w14:paraId="5F89F4EB" w14:textId="491E3D4F" w:rsidR="00B8648D" w:rsidRPr="00B8648D" w:rsidRDefault="00B8648D" w:rsidP="00B8648D">
            <w:pPr>
              <w:spacing w:after="0" w:line="240" w:lineRule="auto"/>
              <w:ind w:firstLine="0"/>
              <w:contextualSpacing w:val="0"/>
              <w:jc w:val="left"/>
              <w:rPr>
                <w:rFonts w:eastAsia="Times New Roman" w:cs="Arial"/>
                <w:color w:val="000000"/>
                <w:sz w:val="21"/>
                <w:szCs w:val="21"/>
                <w:lang w:eastAsia="en-GB"/>
              </w:rPr>
            </w:pPr>
            <w:r w:rsidRPr="00B8648D">
              <w:rPr>
                <w:rFonts w:eastAsia="Times New Roman" w:cs="Arial"/>
                <w:color w:val="000000"/>
                <w:sz w:val="21"/>
                <w:szCs w:val="21"/>
                <w:lang w:eastAsia="en-GB"/>
              </w:rPr>
              <w:t>lethargy or unconsciousness*</w:t>
            </w:r>
          </w:p>
        </w:tc>
        <w:tc>
          <w:tcPr>
            <w:tcW w:w="1300" w:type="dxa"/>
            <w:tcBorders>
              <w:top w:val="nil"/>
              <w:left w:val="nil"/>
              <w:bottom w:val="single" w:sz="4" w:space="0" w:color="auto"/>
              <w:right w:val="single" w:sz="4" w:space="0" w:color="auto"/>
            </w:tcBorders>
            <w:shd w:val="clear" w:color="auto" w:fill="auto"/>
            <w:noWrap/>
            <w:vAlign w:val="center"/>
            <w:hideMark/>
          </w:tcPr>
          <w:p w14:paraId="4A85C35F"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0.01</w:t>
            </w:r>
          </w:p>
        </w:tc>
        <w:tc>
          <w:tcPr>
            <w:tcW w:w="1300" w:type="dxa"/>
            <w:tcBorders>
              <w:top w:val="nil"/>
              <w:left w:val="nil"/>
              <w:bottom w:val="single" w:sz="4" w:space="0" w:color="auto"/>
              <w:right w:val="single" w:sz="4" w:space="0" w:color="auto"/>
            </w:tcBorders>
            <w:shd w:val="clear" w:color="auto" w:fill="auto"/>
            <w:noWrap/>
            <w:vAlign w:val="center"/>
            <w:hideMark/>
          </w:tcPr>
          <w:p w14:paraId="08A4F1DA"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0.01</w:t>
            </w:r>
          </w:p>
        </w:tc>
        <w:tc>
          <w:tcPr>
            <w:tcW w:w="1349" w:type="dxa"/>
            <w:tcBorders>
              <w:top w:val="nil"/>
              <w:left w:val="nil"/>
              <w:bottom w:val="single" w:sz="4" w:space="0" w:color="auto"/>
              <w:right w:val="single" w:sz="8" w:space="0" w:color="auto"/>
            </w:tcBorders>
            <w:shd w:val="clear" w:color="auto" w:fill="auto"/>
            <w:noWrap/>
            <w:vAlign w:val="center"/>
            <w:hideMark/>
          </w:tcPr>
          <w:p w14:paraId="3ADEDF9C"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0.01</w:t>
            </w:r>
          </w:p>
        </w:tc>
      </w:tr>
      <w:tr w:rsidR="00B8648D" w:rsidRPr="00B8648D" w14:paraId="11A95D12" w14:textId="77777777" w:rsidTr="00B8648D">
        <w:trPr>
          <w:trHeight w:val="310"/>
        </w:trPr>
        <w:tc>
          <w:tcPr>
            <w:tcW w:w="3040" w:type="dxa"/>
            <w:tcBorders>
              <w:top w:val="nil"/>
              <w:left w:val="single" w:sz="8" w:space="0" w:color="auto"/>
              <w:bottom w:val="single" w:sz="4" w:space="0" w:color="auto"/>
              <w:right w:val="single" w:sz="4" w:space="0" w:color="auto"/>
            </w:tcBorders>
            <w:shd w:val="clear" w:color="auto" w:fill="auto"/>
            <w:noWrap/>
            <w:vAlign w:val="center"/>
            <w:hideMark/>
          </w:tcPr>
          <w:p w14:paraId="79E4FA85" w14:textId="77777777" w:rsidR="00B8648D" w:rsidRPr="00B8648D" w:rsidRDefault="00B8648D" w:rsidP="00B8648D">
            <w:pPr>
              <w:spacing w:after="0" w:line="240" w:lineRule="auto"/>
              <w:ind w:firstLine="0"/>
              <w:contextualSpacing w:val="0"/>
              <w:jc w:val="left"/>
              <w:rPr>
                <w:rFonts w:eastAsia="Times New Roman" w:cs="Arial"/>
                <w:color w:val="000000"/>
                <w:sz w:val="21"/>
                <w:szCs w:val="21"/>
                <w:lang w:eastAsia="en-GB"/>
              </w:rPr>
            </w:pPr>
            <w:r w:rsidRPr="00B8648D">
              <w:rPr>
                <w:rFonts w:eastAsia="Times New Roman" w:cs="Arial"/>
                <w:color w:val="000000"/>
                <w:sz w:val="21"/>
                <w:szCs w:val="21"/>
                <w:lang w:eastAsia="en-GB"/>
              </w:rPr>
              <w:t>inability to breastfeed/drink*</w:t>
            </w:r>
          </w:p>
        </w:tc>
        <w:tc>
          <w:tcPr>
            <w:tcW w:w="1300" w:type="dxa"/>
            <w:tcBorders>
              <w:top w:val="nil"/>
              <w:left w:val="nil"/>
              <w:bottom w:val="single" w:sz="4" w:space="0" w:color="auto"/>
              <w:right w:val="single" w:sz="4" w:space="0" w:color="auto"/>
            </w:tcBorders>
            <w:shd w:val="clear" w:color="auto" w:fill="auto"/>
            <w:noWrap/>
            <w:vAlign w:val="center"/>
            <w:hideMark/>
          </w:tcPr>
          <w:p w14:paraId="606BC550"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0.01</w:t>
            </w:r>
          </w:p>
        </w:tc>
        <w:tc>
          <w:tcPr>
            <w:tcW w:w="1300" w:type="dxa"/>
            <w:tcBorders>
              <w:top w:val="nil"/>
              <w:left w:val="nil"/>
              <w:bottom w:val="single" w:sz="4" w:space="0" w:color="auto"/>
              <w:right w:val="single" w:sz="4" w:space="0" w:color="auto"/>
            </w:tcBorders>
            <w:shd w:val="clear" w:color="auto" w:fill="auto"/>
            <w:noWrap/>
            <w:vAlign w:val="center"/>
            <w:hideMark/>
          </w:tcPr>
          <w:p w14:paraId="217D77CA"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0.01</w:t>
            </w:r>
          </w:p>
        </w:tc>
        <w:tc>
          <w:tcPr>
            <w:tcW w:w="1349" w:type="dxa"/>
            <w:tcBorders>
              <w:top w:val="nil"/>
              <w:left w:val="nil"/>
              <w:bottom w:val="single" w:sz="4" w:space="0" w:color="auto"/>
              <w:right w:val="single" w:sz="8" w:space="0" w:color="auto"/>
            </w:tcBorders>
            <w:shd w:val="clear" w:color="auto" w:fill="auto"/>
            <w:noWrap/>
            <w:vAlign w:val="center"/>
            <w:hideMark/>
          </w:tcPr>
          <w:p w14:paraId="65693F2C"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0.01</w:t>
            </w:r>
          </w:p>
        </w:tc>
      </w:tr>
      <w:tr w:rsidR="00B8648D" w:rsidRPr="00B8648D" w14:paraId="67C5470E" w14:textId="77777777" w:rsidTr="00B8648D">
        <w:trPr>
          <w:trHeight w:val="310"/>
        </w:trPr>
        <w:tc>
          <w:tcPr>
            <w:tcW w:w="3040" w:type="dxa"/>
            <w:tcBorders>
              <w:top w:val="nil"/>
              <w:left w:val="single" w:sz="8" w:space="0" w:color="auto"/>
              <w:bottom w:val="single" w:sz="4" w:space="0" w:color="auto"/>
              <w:right w:val="single" w:sz="4" w:space="0" w:color="auto"/>
            </w:tcBorders>
            <w:shd w:val="clear" w:color="auto" w:fill="auto"/>
            <w:noWrap/>
            <w:vAlign w:val="center"/>
            <w:hideMark/>
          </w:tcPr>
          <w:p w14:paraId="2964261A" w14:textId="77777777" w:rsidR="00B8648D" w:rsidRPr="00B8648D" w:rsidRDefault="00B8648D" w:rsidP="00B8648D">
            <w:pPr>
              <w:spacing w:after="0" w:line="240" w:lineRule="auto"/>
              <w:ind w:firstLine="0"/>
              <w:contextualSpacing w:val="0"/>
              <w:jc w:val="left"/>
              <w:rPr>
                <w:rFonts w:eastAsia="Times New Roman" w:cs="Arial"/>
                <w:color w:val="000000"/>
                <w:sz w:val="21"/>
                <w:szCs w:val="21"/>
                <w:lang w:eastAsia="en-GB"/>
              </w:rPr>
            </w:pPr>
            <w:r w:rsidRPr="00B8648D">
              <w:rPr>
                <w:rFonts w:eastAsia="Times New Roman" w:cs="Arial"/>
                <w:color w:val="000000"/>
                <w:sz w:val="21"/>
                <w:szCs w:val="21"/>
                <w:lang w:eastAsia="en-GB"/>
              </w:rPr>
              <w:t>convulsions*</w:t>
            </w:r>
          </w:p>
        </w:tc>
        <w:tc>
          <w:tcPr>
            <w:tcW w:w="1300" w:type="dxa"/>
            <w:tcBorders>
              <w:top w:val="nil"/>
              <w:left w:val="nil"/>
              <w:bottom w:val="single" w:sz="4" w:space="0" w:color="auto"/>
              <w:right w:val="single" w:sz="4" w:space="0" w:color="auto"/>
            </w:tcBorders>
            <w:shd w:val="clear" w:color="auto" w:fill="auto"/>
            <w:noWrap/>
            <w:vAlign w:val="center"/>
            <w:hideMark/>
          </w:tcPr>
          <w:p w14:paraId="02166D85"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0.01</w:t>
            </w:r>
          </w:p>
        </w:tc>
        <w:tc>
          <w:tcPr>
            <w:tcW w:w="1300" w:type="dxa"/>
            <w:tcBorders>
              <w:top w:val="nil"/>
              <w:left w:val="nil"/>
              <w:bottom w:val="single" w:sz="4" w:space="0" w:color="auto"/>
              <w:right w:val="single" w:sz="4" w:space="0" w:color="auto"/>
            </w:tcBorders>
            <w:shd w:val="clear" w:color="auto" w:fill="auto"/>
            <w:noWrap/>
            <w:vAlign w:val="center"/>
            <w:hideMark/>
          </w:tcPr>
          <w:p w14:paraId="31743207"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0.01</w:t>
            </w:r>
          </w:p>
        </w:tc>
        <w:tc>
          <w:tcPr>
            <w:tcW w:w="1349" w:type="dxa"/>
            <w:tcBorders>
              <w:top w:val="nil"/>
              <w:left w:val="nil"/>
              <w:bottom w:val="single" w:sz="4" w:space="0" w:color="auto"/>
              <w:right w:val="single" w:sz="8" w:space="0" w:color="auto"/>
            </w:tcBorders>
            <w:shd w:val="clear" w:color="auto" w:fill="auto"/>
            <w:noWrap/>
            <w:vAlign w:val="center"/>
            <w:hideMark/>
          </w:tcPr>
          <w:p w14:paraId="51AFFE8D"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0.01</w:t>
            </w:r>
          </w:p>
        </w:tc>
      </w:tr>
      <w:tr w:rsidR="00B8648D" w:rsidRPr="00B8648D" w14:paraId="3395D955" w14:textId="77777777" w:rsidTr="00B8648D">
        <w:trPr>
          <w:trHeight w:val="320"/>
        </w:trPr>
        <w:tc>
          <w:tcPr>
            <w:tcW w:w="3040" w:type="dxa"/>
            <w:tcBorders>
              <w:top w:val="nil"/>
              <w:left w:val="single" w:sz="8" w:space="0" w:color="auto"/>
              <w:bottom w:val="single" w:sz="8" w:space="0" w:color="auto"/>
              <w:right w:val="single" w:sz="4" w:space="0" w:color="auto"/>
            </w:tcBorders>
            <w:shd w:val="clear" w:color="auto" w:fill="auto"/>
            <w:noWrap/>
            <w:vAlign w:val="center"/>
            <w:hideMark/>
          </w:tcPr>
          <w:p w14:paraId="1643CA24" w14:textId="77777777" w:rsidR="00B8648D" w:rsidRPr="00B8648D" w:rsidRDefault="00B8648D" w:rsidP="00B8648D">
            <w:pPr>
              <w:spacing w:after="0" w:line="240" w:lineRule="auto"/>
              <w:ind w:firstLine="0"/>
              <w:contextualSpacing w:val="0"/>
              <w:jc w:val="left"/>
              <w:rPr>
                <w:rFonts w:eastAsia="Times New Roman" w:cs="Arial"/>
                <w:color w:val="000000"/>
                <w:sz w:val="21"/>
                <w:szCs w:val="21"/>
                <w:lang w:eastAsia="en-GB"/>
              </w:rPr>
            </w:pPr>
            <w:r w:rsidRPr="00B8648D">
              <w:rPr>
                <w:rFonts w:eastAsia="Times New Roman" w:cs="Arial"/>
                <w:color w:val="000000"/>
                <w:sz w:val="21"/>
                <w:szCs w:val="21"/>
                <w:lang w:eastAsia="en-GB"/>
              </w:rPr>
              <w:t>vomiting everything*</w:t>
            </w:r>
          </w:p>
        </w:tc>
        <w:tc>
          <w:tcPr>
            <w:tcW w:w="1300" w:type="dxa"/>
            <w:tcBorders>
              <w:top w:val="nil"/>
              <w:left w:val="nil"/>
              <w:bottom w:val="single" w:sz="8" w:space="0" w:color="auto"/>
              <w:right w:val="single" w:sz="4" w:space="0" w:color="auto"/>
            </w:tcBorders>
            <w:shd w:val="clear" w:color="auto" w:fill="auto"/>
            <w:noWrap/>
            <w:vAlign w:val="center"/>
            <w:hideMark/>
          </w:tcPr>
          <w:p w14:paraId="41AE89B1"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0.01</w:t>
            </w:r>
          </w:p>
        </w:tc>
        <w:tc>
          <w:tcPr>
            <w:tcW w:w="1300" w:type="dxa"/>
            <w:tcBorders>
              <w:top w:val="nil"/>
              <w:left w:val="nil"/>
              <w:bottom w:val="single" w:sz="8" w:space="0" w:color="auto"/>
              <w:right w:val="single" w:sz="4" w:space="0" w:color="auto"/>
            </w:tcBorders>
            <w:shd w:val="clear" w:color="auto" w:fill="auto"/>
            <w:noWrap/>
            <w:vAlign w:val="center"/>
            <w:hideMark/>
          </w:tcPr>
          <w:p w14:paraId="5FE51122"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0.01</w:t>
            </w:r>
          </w:p>
        </w:tc>
        <w:tc>
          <w:tcPr>
            <w:tcW w:w="1349" w:type="dxa"/>
            <w:tcBorders>
              <w:top w:val="nil"/>
              <w:left w:val="nil"/>
              <w:bottom w:val="single" w:sz="8" w:space="0" w:color="auto"/>
              <w:right w:val="single" w:sz="8" w:space="0" w:color="auto"/>
            </w:tcBorders>
            <w:shd w:val="clear" w:color="auto" w:fill="auto"/>
            <w:noWrap/>
            <w:vAlign w:val="center"/>
            <w:hideMark/>
          </w:tcPr>
          <w:p w14:paraId="71CF2A47" w14:textId="77777777" w:rsidR="00B8648D" w:rsidRPr="00B8648D" w:rsidRDefault="00B8648D" w:rsidP="00B8648D">
            <w:pPr>
              <w:spacing w:after="0" w:line="240" w:lineRule="auto"/>
              <w:ind w:firstLine="0"/>
              <w:contextualSpacing w:val="0"/>
              <w:jc w:val="right"/>
              <w:rPr>
                <w:rFonts w:eastAsia="Times New Roman" w:cs="Arial"/>
                <w:color w:val="000000"/>
                <w:sz w:val="21"/>
                <w:szCs w:val="21"/>
                <w:lang w:eastAsia="en-GB"/>
              </w:rPr>
            </w:pPr>
            <w:r w:rsidRPr="00B8648D">
              <w:rPr>
                <w:rFonts w:eastAsia="Times New Roman" w:cs="Arial"/>
                <w:color w:val="000000"/>
                <w:sz w:val="21"/>
                <w:szCs w:val="21"/>
                <w:lang w:eastAsia="en-GB"/>
              </w:rPr>
              <w:t>0.01</w:t>
            </w:r>
          </w:p>
        </w:tc>
      </w:tr>
    </w:tbl>
    <w:p w14:paraId="19328529" w14:textId="401ED4BB" w:rsidR="00B8648D" w:rsidRPr="00B8648D" w:rsidRDefault="00B8648D" w:rsidP="00B8648D">
      <w:pPr>
        <w:pStyle w:val="NoSpacing"/>
        <w:rPr>
          <w:rStyle w:val="SubtleReference"/>
        </w:rPr>
      </w:pPr>
      <w:r w:rsidRPr="00B8648D">
        <w:rPr>
          <w:rStyle w:val="SubtleReference"/>
        </w:rPr>
        <w:t xml:space="preserve">*general danger signs by IMCI </w:t>
      </w:r>
    </w:p>
    <w:p w14:paraId="79D3D2B0" w14:textId="4E469216" w:rsidR="00B8648D" w:rsidRDefault="00B8648D" w:rsidP="00B8648D"/>
    <w:p w14:paraId="22BB8F96" w14:textId="2BB47823" w:rsidR="00C87F09" w:rsidRDefault="004869A5" w:rsidP="00C70BEA">
      <w:r>
        <w:t>For each complication arising from an ALRI event, a set of signs and symptoms are developed by the individual.</w:t>
      </w:r>
      <w:r w:rsidR="00C70BEA" w:rsidRPr="00C70BEA">
        <w:t xml:space="preserve"> </w:t>
      </w:r>
      <w:r w:rsidR="00C70BEA">
        <w:t>Currently in the model, dummy values of 0.8 for each complication’s probability of developing certain symptom.</w:t>
      </w:r>
    </w:p>
    <w:p w14:paraId="13EA28D6" w14:textId="40580A74" w:rsidR="00C70BEA" w:rsidRDefault="00C70BEA" w:rsidP="00C70BEA">
      <w:pPr>
        <w:pStyle w:val="Caption"/>
        <w:keepNext/>
      </w:pPr>
      <w:r>
        <w:t xml:space="preserve">Table </w:t>
      </w:r>
      <w:r w:rsidR="00E018E1">
        <w:fldChar w:fldCharType="begin"/>
      </w:r>
      <w:r w:rsidR="00E018E1">
        <w:instrText xml:space="preserve"> SEQ Table \* ARABIC </w:instrText>
      </w:r>
      <w:r w:rsidR="00E018E1">
        <w:fldChar w:fldCharType="separate"/>
      </w:r>
      <w:r w:rsidR="000979B2">
        <w:rPr>
          <w:noProof/>
        </w:rPr>
        <w:t>10</w:t>
      </w:r>
      <w:r w:rsidR="00E018E1">
        <w:rPr>
          <w:noProof/>
        </w:rPr>
        <w:fldChar w:fldCharType="end"/>
      </w:r>
      <w:r>
        <w:t xml:space="preserve"> - </w:t>
      </w:r>
      <w:r w:rsidRPr="00703088">
        <w:t>Probabilities of each complication adding extra signs and symptoms to ALRI event</w:t>
      </w:r>
    </w:p>
    <w:tbl>
      <w:tblPr>
        <w:tblW w:w="10297" w:type="dxa"/>
        <w:tblLook w:val="04A0" w:firstRow="1" w:lastRow="0" w:firstColumn="1" w:lastColumn="0" w:noHBand="0" w:noVBand="1"/>
      </w:tblPr>
      <w:tblGrid>
        <w:gridCol w:w="2684"/>
        <w:gridCol w:w="7613"/>
      </w:tblGrid>
      <w:tr w:rsidR="00110A68" w:rsidRPr="00110A68" w14:paraId="477C9CDB" w14:textId="77777777" w:rsidTr="00C70BEA">
        <w:trPr>
          <w:trHeight w:val="320"/>
        </w:trPr>
        <w:tc>
          <w:tcPr>
            <w:tcW w:w="2684" w:type="dxa"/>
            <w:tcBorders>
              <w:top w:val="single" w:sz="8" w:space="0" w:color="auto"/>
              <w:left w:val="single" w:sz="8" w:space="0" w:color="auto"/>
              <w:bottom w:val="single" w:sz="8" w:space="0" w:color="auto"/>
              <w:right w:val="single" w:sz="8" w:space="0" w:color="auto"/>
            </w:tcBorders>
            <w:shd w:val="clear" w:color="000000" w:fill="A9D08E"/>
            <w:noWrap/>
            <w:hideMark/>
          </w:tcPr>
          <w:p w14:paraId="2136F0BD" w14:textId="77777777" w:rsidR="00110A68" w:rsidRPr="00C70BEA" w:rsidRDefault="00110A68" w:rsidP="00C70BEA">
            <w:pPr>
              <w:pStyle w:val="NoSpacing"/>
              <w:rPr>
                <w:b/>
                <w:lang w:eastAsia="en-GB"/>
              </w:rPr>
            </w:pPr>
            <w:r w:rsidRPr="00C70BEA">
              <w:rPr>
                <w:b/>
                <w:lang w:eastAsia="en-GB"/>
              </w:rPr>
              <w:t>ALRI with complications</w:t>
            </w:r>
          </w:p>
        </w:tc>
        <w:tc>
          <w:tcPr>
            <w:tcW w:w="7613" w:type="dxa"/>
            <w:tcBorders>
              <w:top w:val="nil"/>
              <w:left w:val="nil"/>
              <w:bottom w:val="nil"/>
              <w:right w:val="nil"/>
            </w:tcBorders>
            <w:shd w:val="clear" w:color="000000" w:fill="BDD7EE"/>
            <w:noWrap/>
            <w:hideMark/>
          </w:tcPr>
          <w:p w14:paraId="53BE52D5" w14:textId="77777777" w:rsidR="00110A68" w:rsidRPr="00C70BEA" w:rsidRDefault="00110A68" w:rsidP="00C70BEA">
            <w:pPr>
              <w:pStyle w:val="NoSpacing"/>
              <w:rPr>
                <w:b/>
                <w:lang w:eastAsia="en-GB"/>
              </w:rPr>
            </w:pPr>
            <w:r w:rsidRPr="00C70BEA">
              <w:rPr>
                <w:b/>
                <w:lang w:eastAsia="en-GB"/>
              </w:rPr>
              <w:t>Signs and Symptoms</w:t>
            </w:r>
          </w:p>
        </w:tc>
      </w:tr>
      <w:tr w:rsidR="00110A68" w:rsidRPr="00110A68" w14:paraId="0EE8CC9A" w14:textId="77777777" w:rsidTr="00C70BEA">
        <w:trPr>
          <w:trHeight w:val="310"/>
        </w:trPr>
        <w:tc>
          <w:tcPr>
            <w:tcW w:w="2684" w:type="dxa"/>
            <w:tcBorders>
              <w:top w:val="nil"/>
              <w:left w:val="single" w:sz="4" w:space="0" w:color="auto"/>
              <w:bottom w:val="single" w:sz="4" w:space="0" w:color="auto"/>
              <w:right w:val="single" w:sz="4" w:space="0" w:color="auto"/>
            </w:tcBorders>
            <w:shd w:val="clear" w:color="000000" w:fill="E2EFDA"/>
            <w:hideMark/>
          </w:tcPr>
          <w:p w14:paraId="129A517B" w14:textId="77777777" w:rsidR="00110A68" w:rsidRPr="00110A68" w:rsidRDefault="00110A68" w:rsidP="00C70BEA">
            <w:pPr>
              <w:pStyle w:val="NoSpacing"/>
              <w:rPr>
                <w:lang w:eastAsia="en-GB"/>
              </w:rPr>
            </w:pPr>
            <w:r w:rsidRPr="00110A68">
              <w:rPr>
                <w:lang w:eastAsia="en-GB"/>
              </w:rPr>
              <w:t>Pleural effusion</w:t>
            </w:r>
          </w:p>
        </w:tc>
        <w:tc>
          <w:tcPr>
            <w:tcW w:w="7613" w:type="dxa"/>
            <w:tcBorders>
              <w:top w:val="nil"/>
              <w:left w:val="nil"/>
              <w:bottom w:val="nil"/>
              <w:right w:val="nil"/>
            </w:tcBorders>
            <w:shd w:val="clear" w:color="auto" w:fill="auto"/>
            <w:hideMark/>
          </w:tcPr>
          <w:p w14:paraId="45349FF1" w14:textId="77777777" w:rsidR="00110A68" w:rsidRPr="00C70BEA" w:rsidRDefault="00110A68" w:rsidP="00C70BEA">
            <w:pPr>
              <w:pStyle w:val="NoSpacing"/>
            </w:pPr>
            <w:r w:rsidRPr="00C70BEA">
              <w:t>chest pain, cough with sputum, fever, difficult breathing</w:t>
            </w:r>
          </w:p>
        </w:tc>
      </w:tr>
      <w:tr w:rsidR="00110A68" w:rsidRPr="00110A68" w14:paraId="643320D3" w14:textId="77777777" w:rsidTr="00C70BEA">
        <w:trPr>
          <w:trHeight w:val="310"/>
        </w:trPr>
        <w:tc>
          <w:tcPr>
            <w:tcW w:w="2684" w:type="dxa"/>
            <w:tcBorders>
              <w:top w:val="nil"/>
              <w:left w:val="single" w:sz="4" w:space="0" w:color="auto"/>
              <w:bottom w:val="single" w:sz="4" w:space="0" w:color="auto"/>
              <w:right w:val="single" w:sz="4" w:space="0" w:color="auto"/>
            </w:tcBorders>
            <w:shd w:val="clear" w:color="000000" w:fill="E2EFDA"/>
            <w:hideMark/>
          </w:tcPr>
          <w:p w14:paraId="13FDE094" w14:textId="77777777" w:rsidR="00110A68" w:rsidRPr="00110A68" w:rsidRDefault="00110A68" w:rsidP="00C70BEA">
            <w:pPr>
              <w:pStyle w:val="NoSpacing"/>
              <w:rPr>
                <w:lang w:eastAsia="en-GB"/>
              </w:rPr>
            </w:pPr>
            <w:r w:rsidRPr="00110A68">
              <w:rPr>
                <w:lang w:eastAsia="en-GB"/>
              </w:rPr>
              <w:t>Empyema</w:t>
            </w:r>
          </w:p>
        </w:tc>
        <w:tc>
          <w:tcPr>
            <w:tcW w:w="7613" w:type="dxa"/>
            <w:tcBorders>
              <w:top w:val="nil"/>
              <w:left w:val="nil"/>
              <w:bottom w:val="nil"/>
              <w:right w:val="nil"/>
            </w:tcBorders>
            <w:shd w:val="clear" w:color="auto" w:fill="auto"/>
            <w:hideMark/>
          </w:tcPr>
          <w:p w14:paraId="0D9D3CD3" w14:textId="77777777" w:rsidR="00110A68" w:rsidRPr="00C70BEA" w:rsidRDefault="00110A68" w:rsidP="00C70BEA">
            <w:pPr>
              <w:pStyle w:val="NoSpacing"/>
            </w:pPr>
            <w:r w:rsidRPr="00C70BEA">
              <w:t>chest pain, cough with sputum, fever respiratory distress</w:t>
            </w:r>
          </w:p>
        </w:tc>
      </w:tr>
      <w:tr w:rsidR="00110A68" w:rsidRPr="00110A68" w14:paraId="12A4E18C" w14:textId="77777777" w:rsidTr="00C70BEA">
        <w:trPr>
          <w:trHeight w:val="310"/>
        </w:trPr>
        <w:tc>
          <w:tcPr>
            <w:tcW w:w="2684" w:type="dxa"/>
            <w:tcBorders>
              <w:top w:val="nil"/>
              <w:left w:val="single" w:sz="4" w:space="0" w:color="auto"/>
              <w:bottom w:val="single" w:sz="4" w:space="0" w:color="auto"/>
              <w:right w:val="single" w:sz="4" w:space="0" w:color="auto"/>
            </w:tcBorders>
            <w:shd w:val="clear" w:color="000000" w:fill="E2EFDA"/>
            <w:hideMark/>
          </w:tcPr>
          <w:p w14:paraId="187F2502" w14:textId="77777777" w:rsidR="00110A68" w:rsidRPr="00110A68" w:rsidRDefault="00110A68" w:rsidP="00C70BEA">
            <w:pPr>
              <w:pStyle w:val="NoSpacing"/>
              <w:rPr>
                <w:lang w:eastAsia="en-GB"/>
              </w:rPr>
            </w:pPr>
            <w:r w:rsidRPr="00110A68">
              <w:rPr>
                <w:lang w:eastAsia="en-GB"/>
              </w:rPr>
              <w:t>Pneumothorax</w:t>
            </w:r>
          </w:p>
        </w:tc>
        <w:tc>
          <w:tcPr>
            <w:tcW w:w="7613" w:type="dxa"/>
            <w:tcBorders>
              <w:top w:val="nil"/>
              <w:left w:val="nil"/>
              <w:bottom w:val="nil"/>
              <w:right w:val="nil"/>
            </w:tcBorders>
            <w:shd w:val="clear" w:color="auto" w:fill="auto"/>
            <w:hideMark/>
          </w:tcPr>
          <w:p w14:paraId="60BB75D9" w14:textId="77777777" w:rsidR="00110A68" w:rsidRPr="00C70BEA" w:rsidRDefault="00110A68" w:rsidP="00C70BEA">
            <w:pPr>
              <w:pStyle w:val="NoSpacing"/>
            </w:pPr>
            <w:r w:rsidRPr="00C70BEA">
              <w:t>chest pain, tachycardia, cyanosis, fatigue, decreased chest movement</w:t>
            </w:r>
          </w:p>
        </w:tc>
      </w:tr>
      <w:tr w:rsidR="00110A68" w:rsidRPr="00110A68" w14:paraId="3F5BCF07" w14:textId="77777777" w:rsidTr="00C70BEA">
        <w:trPr>
          <w:trHeight w:val="310"/>
        </w:trPr>
        <w:tc>
          <w:tcPr>
            <w:tcW w:w="2684" w:type="dxa"/>
            <w:tcBorders>
              <w:top w:val="nil"/>
              <w:left w:val="single" w:sz="4" w:space="0" w:color="auto"/>
              <w:bottom w:val="single" w:sz="4" w:space="0" w:color="auto"/>
              <w:right w:val="single" w:sz="4" w:space="0" w:color="auto"/>
            </w:tcBorders>
            <w:shd w:val="clear" w:color="000000" w:fill="E2EFDA"/>
            <w:hideMark/>
          </w:tcPr>
          <w:p w14:paraId="5A6D77EC" w14:textId="77777777" w:rsidR="00110A68" w:rsidRPr="00110A68" w:rsidRDefault="00110A68" w:rsidP="00C70BEA">
            <w:pPr>
              <w:pStyle w:val="NoSpacing"/>
              <w:rPr>
                <w:lang w:eastAsia="en-GB"/>
              </w:rPr>
            </w:pPr>
            <w:r w:rsidRPr="00110A68">
              <w:rPr>
                <w:lang w:eastAsia="en-GB"/>
              </w:rPr>
              <w:t>Lung abscess</w:t>
            </w:r>
          </w:p>
        </w:tc>
        <w:tc>
          <w:tcPr>
            <w:tcW w:w="7613" w:type="dxa"/>
            <w:tcBorders>
              <w:top w:val="nil"/>
              <w:left w:val="nil"/>
              <w:bottom w:val="nil"/>
              <w:right w:val="nil"/>
            </w:tcBorders>
            <w:shd w:val="clear" w:color="auto" w:fill="auto"/>
            <w:noWrap/>
            <w:hideMark/>
          </w:tcPr>
          <w:p w14:paraId="349E7E30" w14:textId="77777777" w:rsidR="00110A68" w:rsidRPr="00C70BEA" w:rsidRDefault="00110A68" w:rsidP="00C70BEA">
            <w:pPr>
              <w:pStyle w:val="NoSpacing"/>
            </w:pPr>
            <w:r w:rsidRPr="00C70BEA">
              <w:t>chest pain, tachypnoea, cough with sputum, hemoptysis, fever, weight loss, tachycardia</w:t>
            </w:r>
          </w:p>
        </w:tc>
      </w:tr>
      <w:tr w:rsidR="00110A68" w:rsidRPr="00110A68" w14:paraId="3D0B63E8" w14:textId="77777777" w:rsidTr="00C70BEA">
        <w:trPr>
          <w:trHeight w:val="310"/>
        </w:trPr>
        <w:tc>
          <w:tcPr>
            <w:tcW w:w="2684" w:type="dxa"/>
            <w:tcBorders>
              <w:top w:val="nil"/>
              <w:left w:val="single" w:sz="4" w:space="0" w:color="auto"/>
              <w:bottom w:val="single" w:sz="4" w:space="0" w:color="auto"/>
              <w:right w:val="single" w:sz="4" w:space="0" w:color="auto"/>
            </w:tcBorders>
            <w:shd w:val="clear" w:color="000000" w:fill="E2EFDA"/>
            <w:hideMark/>
          </w:tcPr>
          <w:p w14:paraId="40222658" w14:textId="77777777" w:rsidR="00110A68" w:rsidRPr="00110A68" w:rsidRDefault="00110A68" w:rsidP="00C70BEA">
            <w:pPr>
              <w:pStyle w:val="NoSpacing"/>
              <w:rPr>
                <w:lang w:eastAsia="en-GB"/>
              </w:rPr>
            </w:pPr>
            <w:r w:rsidRPr="00110A68">
              <w:rPr>
                <w:lang w:eastAsia="en-GB"/>
              </w:rPr>
              <w:lastRenderedPageBreak/>
              <w:t>Respiratory failure</w:t>
            </w:r>
          </w:p>
        </w:tc>
        <w:tc>
          <w:tcPr>
            <w:tcW w:w="7613" w:type="dxa"/>
            <w:tcBorders>
              <w:top w:val="nil"/>
              <w:left w:val="nil"/>
              <w:bottom w:val="nil"/>
              <w:right w:val="nil"/>
            </w:tcBorders>
            <w:shd w:val="clear" w:color="auto" w:fill="auto"/>
            <w:hideMark/>
          </w:tcPr>
          <w:p w14:paraId="7925DFE6" w14:textId="3A85BC78" w:rsidR="00110A68" w:rsidRPr="00C70BEA" w:rsidRDefault="00110A68" w:rsidP="00C70BEA">
            <w:pPr>
              <w:pStyle w:val="NoSpacing"/>
            </w:pPr>
            <w:r w:rsidRPr="00C70BEA">
              <w:t>cyanosis, tachypnoea, tachycardia, le</w:t>
            </w:r>
            <w:r w:rsidR="00C70BEA">
              <w:t xml:space="preserve">thargy, restlessness, difficult </w:t>
            </w:r>
            <w:r w:rsidRPr="00C70BEA">
              <w:t>breathing</w:t>
            </w:r>
          </w:p>
        </w:tc>
      </w:tr>
      <w:tr w:rsidR="00110A68" w:rsidRPr="00110A68" w14:paraId="33D5777A" w14:textId="77777777" w:rsidTr="00C70BEA">
        <w:trPr>
          <w:trHeight w:val="310"/>
        </w:trPr>
        <w:tc>
          <w:tcPr>
            <w:tcW w:w="2684" w:type="dxa"/>
            <w:tcBorders>
              <w:top w:val="nil"/>
              <w:left w:val="single" w:sz="4" w:space="0" w:color="auto"/>
              <w:bottom w:val="single" w:sz="4" w:space="0" w:color="auto"/>
              <w:right w:val="single" w:sz="4" w:space="0" w:color="auto"/>
            </w:tcBorders>
            <w:shd w:val="clear" w:color="000000" w:fill="E2EFDA"/>
            <w:hideMark/>
          </w:tcPr>
          <w:p w14:paraId="79047DBD" w14:textId="77777777" w:rsidR="00110A68" w:rsidRPr="00110A68" w:rsidRDefault="00110A68" w:rsidP="00C70BEA">
            <w:pPr>
              <w:pStyle w:val="NoSpacing"/>
              <w:rPr>
                <w:lang w:eastAsia="en-GB"/>
              </w:rPr>
            </w:pPr>
            <w:r w:rsidRPr="00110A68">
              <w:rPr>
                <w:lang w:eastAsia="en-GB"/>
              </w:rPr>
              <w:t xml:space="preserve">Meningitis </w:t>
            </w:r>
          </w:p>
        </w:tc>
        <w:tc>
          <w:tcPr>
            <w:tcW w:w="7613" w:type="dxa"/>
            <w:tcBorders>
              <w:top w:val="nil"/>
              <w:left w:val="nil"/>
              <w:bottom w:val="nil"/>
              <w:right w:val="nil"/>
            </w:tcBorders>
            <w:shd w:val="clear" w:color="auto" w:fill="auto"/>
            <w:hideMark/>
          </w:tcPr>
          <w:p w14:paraId="3C58C049" w14:textId="77777777" w:rsidR="00110A68" w:rsidRPr="00C70BEA" w:rsidRDefault="00110A68" w:rsidP="00C70BEA">
            <w:pPr>
              <w:pStyle w:val="NoSpacing"/>
            </w:pPr>
            <w:r w:rsidRPr="00C70BEA">
              <w:t>fever, headache, bulging fontanel, convulsions, nausea, vomiting, photophobia, nuchal rigidity</w:t>
            </w:r>
          </w:p>
        </w:tc>
      </w:tr>
      <w:tr w:rsidR="00110A68" w:rsidRPr="00110A68" w14:paraId="4825DC4D" w14:textId="77777777" w:rsidTr="00C70BEA">
        <w:trPr>
          <w:trHeight w:val="310"/>
        </w:trPr>
        <w:tc>
          <w:tcPr>
            <w:tcW w:w="2684" w:type="dxa"/>
            <w:tcBorders>
              <w:top w:val="nil"/>
              <w:left w:val="single" w:sz="4" w:space="0" w:color="auto"/>
              <w:bottom w:val="single" w:sz="4" w:space="0" w:color="auto"/>
              <w:right w:val="single" w:sz="4" w:space="0" w:color="auto"/>
            </w:tcBorders>
            <w:shd w:val="clear" w:color="000000" w:fill="E2EFDA"/>
            <w:hideMark/>
          </w:tcPr>
          <w:p w14:paraId="1F555DB0" w14:textId="77777777" w:rsidR="00110A68" w:rsidRPr="00110A68" w:rsidRDefault="00110A68" w:rsidP="00C70BEA">
            <w:pPr>
              <w:pStyle w:val="NoSpacing"/>
              <w:rPr>
                <w:lang w:eastAsia="en-GB"/>
              </w:rPr>
            </w:pPr>
            <w:r w:rsidRPr="00110A68">
              <w:rPr>
                <w:lang w:eastAsia="en-GB"/>
              </w:rPr>
              <w:t>Sepsis</w:t>
            </w:r>
          </w:p>
        </w:tc>
        <w:tc>
          <w:tcPr>
            <w:tcW w:w="7613" w:type="dxa"/>
            <w:tcBorders>
              <w:top w:val="nil"/>
              <w:left w:val="nil"/>
              <w:bottom w:val="nil"/>
              <w:right w:val="nil"/>
            </w:tcBorders>
            <w:shd w:val="clear" w:color="auto" w:fill="auto"/>
            <w:hideMark/>
          </w:tcPr>
          <w:p w14:paraId="28F7DEAA" w14:textId="77777777" w:rsidR="00110A68" w:rsidRPr="00C70BEA" w:rsidRDefault="00110A68" w:rsidP="00C70BEA">
            <w:pPr>
              <w:pStyle w:val="NoSpacing"/>
            </w:pPr>
            <w:r w:rsidRPr="00C70BEA">
              <w:t>fever, fatigue, tachypnoea, lethargy, convulsions, not eating, vomiting, no urination in 12h</w:t>
            </w:r>
          </w:p>
        </w:tc>
      </w:tr>
    </w:tbl>
    <w:p w14:paraId="0D08B2FE" w14:textId="77777777" w:rsidR="0040209C" w:rsidRDefault="0040209C" w:rsidP="00B8648D"/>
    <w:p w14:paraId="5965E4E6" w14:textId="0EFF1063" w:rsidR="00C70BEA" w:rsidRDefault="00C87F09" w:rsidP="00BF5F97">
      <w:r>
        <w:t>From the natural course of the ALRI disease, the signs and symptoms developed are used to compute the IMCI-defined pneumonia and used in the differential diagnosis at the hospital level.</w:t>
      </w:r>
    </w:p>
    <w:p w14:paraId="74765826" w14:textId="764789FF" w:rsidR="004869A5" w:rsidRDefault="00BF5F97" w:rsidP="00BF5F97">
      <w:pPr>
        <w:pStyle w:val="Heading3"/>
      </w:pPr>
      <w:bookmarkStart w:id="16" w:name="_Toc64288812"/>
      <w:r>
        <w:t>Care management at</w:t>
      </w:r>
      <w:r w:rsidR="004869A5">
        <w:t xml:space="preserve"> the community level (facility level 0)</w:t>
      </w:r>
      <w:bookmarkEnd w:id="16"/>
    </w:p>
    <w:p w14:paraId="6BA32D81" w14:textId="77777777" w:rsidR="00FD03FA" w:rsidRDefault="006868D5" w:rsidP="006868D5">
      <w:r>
        <w:t xml:space="preserve">Every sick child presenting symptoms of any disease, who seek care from a local HSA, will be sent to the </w:t>
      </w:r>
      <w:r w:rsidR="00FD03FA">
        <w:t>dx_algorithm_child</w:t>
      </w:r>
      <w:r>
        <w:t xml:space="preserve"> module in their first interaction with the health systems</w:t>
      </w:r>
      <w:r w:rsidR="00FD03FA">
        <w:t xml:space="preserve"> in the community</w:t>
      </w:r>
      <w:r>
        <w:t xml:space="preserve">. Within this module </w:t>
      </w:r>
      <w:r w:rsidR="00FD03FA">
        <w:t>the algorithm for community health worker’s performance is deployed – the HSA will identify the child’s problems, classify the disease and decide whether to refer or to treat at home. Then, based on the treatment decision, the respective HSI event will occur.</w:t>
      </w:r>
      <w:r>
        <w:t xml:space="preserve"> </w:t>
      </w:r>
    </w:p>
    <w:p w14:paraId="3C7C6D0C" w14:textId="7DE04C1C" w:rsidR="006868D5" w:rsidRDefault="006868D5" w:rsidP="006868D5">
      <w:r>
        <w:t>The probability of correct identification of the problem and classification of the illness will depend on the training</w:t>
      </w:r>
      <w:r>
        <w:fldChar w:fldCharType="begin" w:fldLock="1"/>
      </w:r>
      <w:r w:rsidR="008C02B1">
        <w:instrText>ADDIN CSL_CITATION {"citationItems":[{"id":"ITEM-1","itemData":{"DOI":"10.1371/journal.pone.0066030","abstract":"Background: An estimated 6.9 million children die annually in low and middle-income countries because of treatable illneses including pneumonia, diarrhea, and malaria. To reduce morbidity and mortality, the Integrated Management of Childhood Illness strategy was developed, which included a component to strengthen the skills of health workers in identifying and managing these conditions. A systematic review and meta-analysis were conducted to determine whether IMCI training actually improves performance. Methods: Database searches of CIHAHL, CENTRAL, EMBASE, Global Health, Medline, Ovid Healthstar, and PubMed were performed from 1990 to February 2013, and supplemented with grey literature searches and reviews of bibliographies. Studies were included if they compared the performance of IMCI and non-IMCI health workers in illness classification, prescription of medications, vaccinations, and counseling on nutrition and admistration of oral therapies. Dersminion-Laird random effect models were used to summarize the effect estimates. Results: The systematic review and meta-analysis included 46 and 26 studies, respectively. Four cluster-randomized controlled trials, seven pre-post studies, and 15 cross-sectional studies were included. Findings were heterogeneous across performance domains with evidence of effect modification by health worker performance at baseline. Overall, IMCI-trained workers were more likely to correctly classify illnesses (RR = 1.93, 95% CI: 1.66-2.24). Studies of workers with lower baseline performance showed greater improvements in prescribing medications (RR = 3.08, 95% CI: 2.04-4.66), vaccinating children (RR = 3.45, 95% CI: 1.49-8.01), and counseling families on adequate nutrition (RR = 10.12, 95% CI: 6.03-16.99) and administering oral therapies (RR = 3.76, 95% CI: 2.30-6.13). Trends toward greater training benefits were observed in studies that were conducted in lower resource settings and reported greater supervision. Conclusion: Findings suggest that IMCI training improves health worker performance. However, these estimates need to be interpreted cautiously given the observational nature of the studies and presence of heterogeneity. © 2013 Nguyen et al.","author":[{"dropping-particle":"","family":"Nguyen","given":"Duyen Thi Kim","non-dropping-particle":"","parse-names":false,"suffix":""},{"dropping-particle":"","family":"Leung","given":"Karen K.","non-dropping-particle":"","parse-names":false,"suffix":""},{"dropping-particle":"","family":"McIntyre","given":"Lynn","non-dropping-particle":"","parse-names":false,"suffix":""},{"dropping-particle":"","family":"Ghali","given":"William A.","non-dropping-particle":"","parse-names":false,"suffix":""},{"dropping-particle":"","family":"Sauve","given":"Reg","non-dropping-particle":"","parse-names":false,"suffix":""}],"container-title":"PLoS ONE","editor":[{"dropping-particle":"","family":"Baradaran","given":"Hamid Reza","non-dropping-particle":"","parse-names":false,"suffix":""}],"id":"ITEM-1","issue":"6","issued":{"date-parts":[["2013","6","12"]]},"page":"e66030","publisher":"PLoS One","title":"Does Integrated Management of Childhood Illness (IMCI) Training Improve the Skills of Health Workers? A Systematic Review and Meta-Analysis","type":"article-journal","volume":"8"},"uris":["http://www.mendeley.com/documents/?uuid=92bd247e-18b0-4140-91b2-7930333c647f"]}],"mendeley":{"formattedCitation":"&lt;sup&gt;42&lt;/sup&gt;","plainTextFormattedCitation":"42","previouslyFormattedCitation":"&lt;sup&gt;41&lt;/sup&gt;"},"properties":{"noteIndex":0},"schema":"https://github.com/citation-style-language/schema/raw/master/csl-citation.json"}</w:instrText>
      </w:r>
      <w:r>
        <w:fldChar w:fldCharType="separate"/>
      </w:r>
      <w:r w:rsidR="008C02B1" w:rsidRPr="008C02B1">
        <w:rPr>
          <w:noProof/>
          <w:vertAlign w:val="superscript"/>
        </w:rPr>
        <w:t>42</w:t>
      </w:r>
      <w:r>
        <w:fldChar w:fldCharType="end"/>
      </w:r>
      <w:r>
        <w:t>, supportive supervision, and guideline adherence</w:t>
      </w:r>
      <w:r>
        <w:fldChar w:fldCharType="begin" w:fldLock="1"/>
      </w:r>
      <w:r w:rsidR="008C02B1">
        <w:instrText>ADDIN CSL_CITATION {"citationItems":[{"id":"ITEM-1","itemData":{"DOI":"10.1136/bmjgh-2017-000506","ISSN":"2059-7908","PMID":"29662688","abstract":"Background Pneumonia remains the leading cause of child mortality in sub-Saharan Africa. The Integrated Management of Childhood Illness (IMCI) strategy was developed to standardise care in low-income and middle-income countries for major childhood illnesses and can effectively improve healthcare worker performance. Suboptimal clinical evaluation can result in missed diagnoses and excess morbidity and mortality. We estimate the sensitivity of pneumonia diagnosis and investigate its determinants among children in Malawi. Methods Data were obtained from the 2013-2014 Service Provision Assessment survey, a census of health facilities in Malawi that included direct observation of care and re-examination of children by trained observers. We calculated sensitivity of pneumonia diagnosis and used multilevel log-binomial regression to assess factors associated with diagnostic sensitivity. Results 3136 clinical visits for children 2-59 months old were observed at 742 health facilities. Healthcare workers completed an average of 30% (SD 13%) of IMCI guidelines in each encounter. 573 children met the IMCI criteria for pneumonia; 118 (21%) were correctly diagnosed. Advanced practice clinicians were more likely than other providers to diagnose pneumonia correctly (adjusted relative risk 2.00, 95% CI 1.21 to 3.29). Clinical quality was strongly associated with correct diagnosis: sensitivity was 23% in providers at the 75th percentile for guideline adherence compared with 14% for those at the 25th percentile. Contextual factors, facility structural readiness, and training or supervision were not associated with sensitivity. Conclusions Care quality for Malawian children is poor, with low guideline adherence and missed diagnosis for four of five children with pneumonia. Better sensitivity is associated with provider type and higher adherence to IMCI. Existing interventions such as training and supportive supervision are associated with higher guideline adherence, but are insufficient to meaningfully improve sensitivity. Innovative and scalable quality improvement interventions are needed to strengthen health systems and reduce avoidable child mortality.","author":[{"dropping-particle":"","family":"Uwemedimo","given":"Omolara T","non-dropping-particle":"","parse-names":false,"suffix":""},{"dropping-particle":"","family":"Lewis","given":"Todd P","non-dropping-particle":"","parse-names":false,"suffix":""},{"dropping-particle":"","family":"Essien","given":"Elsie A","non-dropping-particle":"","parse-names":false,"suffix":""},{"dropping-particle":"","family":"Chan","given":"Grace J","non-dropping-particle":"","parse-names":false,"suffix":""},{"dropping-particle":"","family":"Nsona","given":"Humphreys","non-dropping-particle":"","parse-names":false,"suffix":""},{"dropping-particle":"","family":"Kruk","given":"Margaret E","non-dropping-particle":"","parse-names":false,"suffix":""},{"dropping-particle":"","family":"Leslie","given":"Hannah H","non-dropping-particle":"","parse-names":false,"suffix":""}],"container-title":"BMJ global health","id":"ITEM-1","issue":"2","issued":{"date-parts":[["2018","4","9"]]},"page":"e000506","title":"Distribution and determinants of pneumonia diagnosis using Integrated Management of Childhood Illness guidelines: a nationally representative study in Malawi.","type":"article-journal","volume":"3"},"uris":["http://www.mendeley.com/documents/?uuid=c8170984-b6f1-30bf-9719-609139bf8438"]}],"mendeley":{"formattedCitation":"&lt;sup&gt;43&lt;/sup&gt;","plainTextFormattedCitation":"43","previouslyFormattedCitation":"&lt;sup&gt;42&lt;/sup&gt;"},"properties":{"noteIndex":0},"schema":"https://github.com/citation-style-language/schema/raw/master/csl-citation.json"}</w:instrText>
      </w:r>
      <w:r>
        <w:fldChar w:fldCharType="separate"/>
      </w:r>
      <w:r w:rsidR="008C02B1" w:rsidRPr="008C02B1">
        <w:rPr>
          <w:noProof/>
          <w:vertAlign w:val="superscript"/>
        </w:rPr>
        <w:t>43</w:t>
      </w:r>
      <w:r>
        <w:fldChar w:fldCharType="end"/>
      </w:r>
      <w:r>
        <w:t>. (not yet added in the model)</w:t>
      </w:r>
    </w:p>
    <w:p w14:paraId="5C74DA56" w14:textId="78642631" w:rsidR="004869A5" w:rsidRDefault="00FD03FA" w:rsidP="00FD03FA">
      <w:r>
        <w:t xml:space="preserve">In the community case management of cough or difficult breathing, trained HSAs can treat fast breathing-pneumonia with provision of antibiotics and home care counselling, </w:t>
      </w:r>
      <w:r w:rsidR="00250B77">
        <w:t xml:space="preserve">while </w:t>
      </w:r>
      <w:r w:rsidR="00AD749E">
        <w:t xml:space="preserve">other cases </w:t>
      </w:r>
      <w:r>
        <w:t>are r</w:t>
      </w:r>
      <w:r w:rsidR="00AD749E">
        <w:t xml:space="preserve">eferred to a health facility for further management. </w:t>
      </w:r>
    </w:p>
    <w:p w14:paraId="14200103" w14:textId="7F7CBFF5" w:rsidR="00250B77" w:rsidRDefault="00250B77" w:rsidP="00250B77">
      <w:pPr>
        <w:ind w:firstLine="0"/>
      </w:pPr>
    </w:p>
    <w:p w14:paraId="6BAD0C92" w14:textId="22E406C6" w:rsidR="005764DB" w:rsidRDefault="005764DB" w:rsidP="005764DB">
      <w:pPr>
        <w:pStyle w:val="Caption"/>
        <w:keepNext/>
      </w:pPr>
      <w:r>
        <w:t xml:space="preserve">Figure </w:t>
      </w:r>
      <w:r w:rsidR="00E018E1">
        <w:fldChar w:fldCharType="begin"/>
      </w:r>
      <w:r w:rsidR="00E018E1">
        <w:instrText xml:space="preserve"> SEQ Figure \* ARABIC </w:instrText>
      </w:r>
      <w:r w:rsidR="00E018E1">
        <w:fldChar w:fldCharType="separate"/>
      </w:r>
      <w:r w:rsidR="00D83509">
        <w:rPr>
          <w:noProof/>
        </w:rPr>
        <w:t>2</w:t>
      </w:r>
      <w:r w:rsidR="00E018E1">
        <w:rPr>
          <w:noProof/>
        </w:rPr>
        <w:fldChar w:fldCharType="end"/>
      </w:r>
      <w:r>
        <w:t xml:space="preserve"> - C</w:t>
      </w:r>
      <w:r w:rsidRPr="003663C3">
        <w:t>linical error pathway for iCCM cough assessment</w:t>
      </w:r>
    </w:p>
    <w:p w14:paraId="2784A0D0" w14:textId="48517D0F" w:rsidR="006868D5" w:rsidRDefault="006868D5" w:rsidP="005764DB">
      <w:pPr>
        <w:keepNext/>
        <w:ind w:firstLine="0"/>
      </w:pPr>
      <w:r>
        <w:rPr>
          <w:noProof/>
          <w:lang w:eastAsia="en-GB"/>
        </w:rPr>
        <w:drawing>
          <wp:inline distT="0" distB="0" distL="0" distR="0" wp14:anchorId="4ABFFD89" wp14:editId="75D174DA">
            <wp:extent cx="4857134" cy="3451684"/>
            <wp:effectExtent l="0" t="0" r="635" b="0"/>
            <wp:docPr id="2" name="Picture 2" descr="https://documents.lucid.app/documents/83fbfd48-8d8c-4930-a982-248429e74e08/pages/0_0?a=3435&amp;x=-1784&amp;y=248&amp;w=972&amp;h=700&amp;store=1&amp;accept=image%2F*&amp;auth=LCA%204841143ab99ba6149ba7675952c2a3a644c28266-ts%3D160958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lucid.app/documents/83fbfd48-8d8c-4930-a982-248429e74e08/pages/0_0?a=3435&amp;x=-1784&amp;y=248&amp;w=972&amp;h=700&amp;store=1&amp;accept=image%2F*&amp;auth=LCA%204841143ab99ba6149ba7675952c2a3a644c28266-ts%3D1609584547"/>
                    <pic:cNvPicPr>
                      <a:picLocks noChangeAspect="1" noChangeArrowheads="1"/>
                    </pic:cNvPicPr>
                  </pic:nvPicPr>
                  <pic:blipFill rotWithShape="1">
                    <a:blip r:embed="rId9">
                      <a:extLst>
                        <a:ext uri="{28A0092B-C50C-407E-A947-70E740481C1C}">
                          <a14:useLocalDpi xmlns:a14="http://schemas.microsoft.com/office/drawing/2010/main" val="0"/>
                        </a:ext>
                      </a:extLst>
                    </a:blip>
                    <a:srcRect l="6033" t="6638" r="5747" b="6342"/>
                    <a:stretch/>
                  </pic:blipFill>
                  <pic:spPr bwMode="auto">
                    <a:xfrm>
                      <a:off x="0" y="0"/>
                      <a:ext cx="4873289" cy="3463165"/>
                    </a:xfrm>
                    <a:prstGeom prst="rect">
                      <a:avLst/>
                    </a:prstGeom>
                    <a:noFill/>
                    <a:ln>
                      <a:noFill/>
                    </a:ln>
                    <a:extLst>
                      <a:ext uri="{53640926-AAD7-44D8-BBD7-CCE9431645EC}">
                        <a14:shadowObscured xmlns:a14="http://schemas.microsoft.com/office/drawing/2010/main"/>
                      </a:ext>
                    </a:extLst>
                  </pic:spPr>
                </pic:pic>
              </a:graphicData>
            </a:graphic>
          </wp:inline>
        </w:drawing>
      </w:r>
    </w:p>
    <w:p w14:paraId="77F953A4" w14:textId="62B9BF4E" w:rsidR="006868D5" w:rsidRDefault="006868D5" w:rsidP="006868D5">
      <w:r w:rsidRPr="003141E1">
        <w:t xml:space="preserve">All children coming to the </w:t>
      </w:r>
      <w:r>
        <w:t>H</w:t>
      </w:r>
      <w:r w:rsidRPr="003141E1">
        <w:t>S</w:t>
      </w:r>
      <w:r>
        <w:t>A</w:t>
      </w:r>
      <w:r w:rsidRPr="003141E1">
        <w:t xml:space="preserve"> </w:t>
      </w:r>
      <w:r>
        <w:t>for a health assessment should be checked for</w:t>
      </w:r>
      <w:r w:rsidRPr="003141E1">
        <w:t xml:space="preserve"> general and physical danger signs and assess</w:t>
      </w:r>
      <w:r>
        <w:t>ed</w:t>
      </w:r>
      <w:r w:rsidRPr="003141E1">
        <w:t xml:space="preserve"> for the presence of </w:t>
      </w:r>
      <w:r>
        <w:t xml:space="preserve">cough, </w:t>
      </w:r>
      <w:r w:rsidRPr="003141E1">
        <w:t>fever,</w:t>
      </w:r>
      <w:r>
        <w:t xml:space="preserve"> and diarrhoea</w:t>
      </w:r>
      <w:r w:rsidRPr="003141E1">
        <w:t xml:space="preserve">. </w:t>
      </w:r>
      <w:r>
        <w:t xml:space="preserve">General danger signs are </w:t>
      </w:r>
      <w:r w:rsidR="00C732C6">
        <w:t>as defined in the IMCI</w:t>
      </w:r>
      <w:r>
        <w:t xml:space="preserve">. Physical danger signs in iCCM that also need urgent referral are chest indrawing, palmar pallor, red on MUAC tape and swelling of both feet. If the HSA has detected a danger sign, he should carry on with the assessment of the three main symptoms, </w:t>
      </w:r>
      <w:r w:rsidRPr="009519AD">
        <w:t>and identify a p</w:t>
      </w:r>
      <w:r>
        <w:t>re-referral treatment. If the H</w:t>
      </w:r>
      <w:r w:rsidRPr="009519AD">
        <w:t>S</w:t>
      </w:r>
      <w:r>
        <w:t>A</w:t>
      </w:r>
      <w:r w:rsidRPr="009519AD">
        <w:t xml:space="preserve"> has not detected any danger signs and assessed the child for the main symptoms, will give first dose of treatm</w:t>
      </w:r>
      <w:r>
        <w:t>ent and counsel the mother to treat at home.</w:t>
      </w:r>
    </w:p>
    <w:p w14:paraId="254A7C18" w14:textId="05F2584E" w:rsidR="006868D5" w:rsidRDefault="006868D5" w:rsidP="00C732C6">
      <w:r>
        <w:t xml:space="preserve">In </w:t>
      </w:r>
      <w:r w:rsidR="00B00837">
        <w:t>F</w:t>
      </w:r>
      <w:r>
        <w:t xml:space="preserve">igure </w:t>
      </w:r>
      <w:r w:rsidR="003B28C7">
        <w:t xml:space="preserve">2 </w:t>
      </w:r>
      <w:r>
        <w:t>above, a clinical error pathway is shown as the assessment and classification of disease by the HSA is not 100% correct and there is possibility of misdiagnosis and treatment that we want to capture in the model of this intervention. A child with a cough or difficult breathing</w:t>
      </w:r>
      <w:r w:rsidR="00C732C6">
        <w:t xml:space="preserve"> and</w:t>
      </w:r>
      <w:r>
        <w:t>:</w:t>
      </w:r>
    </w:p>
    <w:p w14:paraId="35877425" w14:textId="389AFB22" w:rsidR="006868D5" w:rsidRDefault="006868D5" w:rsidP="006868D5">
      <w:pPr>
        <w:pStyle w:val="ListParagraph"/>
        <w:numPr>
          <w:ilvl w:val="0"/>
          <w:numId w:val="24"/>
        </w:numPr>
        <w:spacing w:after="0" w:line="240" w:lineRule="auto"/>
      </w:pPr>
      <w:r>
        <w:lastRenderedPageBreak/>
        <w:t>presents fast breathing with any of the general danger signs, should be classified as fast breathing with danger sign (severe pneumonia), referred immediately to a health facility and given a first dose of antibiotic.</w:t>
      </w:r>
    </w:p>
    <w:p w14:paraId="287F7799" w14:textId="2CA10B2A" w:rsidR="006868D5" w:rsidRDefault="006868D5" w:rsidP="006868D5">
      <w:pPr>
        <w:pStyle w:val="ListParagraph"/>
        <w:numPr>
          <w:ilvl w:val="0"/>
          <w:numId w:val="24"/>
        </w:numPr>
        <w:spacing w:after="0" w:line="240" w:lineRule="auto"/>
      </w:pPr>
      <w:r>
        <w:t>presents fast breathing with no general danger signs and a negative RDT, should be classified as fast breathing (pneumonia) and treated at home.</w:t>
      </w:r>
    </w:p>
    <w:p w14:paraId="3D1BFF59" w14:textId="39360C7F" w:rsidR="006868D5" w:rsidRDefault="006868D5" w:rsidP="006868D5">
      <w:pPr>
        <w:pStyle w:val="ListParagraph"/>
        <w:numPr>
          <w:ilvl w:val="0"/>
          <w:numId w:val="24"/>
        </w:numPr>
        <w:spacing w:after="0" w:line="240" w:lineRule="auto"/>
      </w:pPr>
      <w:r>
        <w:t>presents with cough and no fast breathing, should be classified as common cold or cough, and not treated.</w:t>
      </w:r>
    </w:p>
    <w:p w14:paraId="179AA89A" w14:textId="5A2CD8F1" w:rsidR="003329DD" w:rsidRDefault="006868D5" w:rsidP="00D43043">
      <w:pPr>
        <w:pStyle w:val="ListParagraph"/>
        <w:numPr>
          <w:ilvl w:val="0"/>
          <w:numId w:val="24"/>
        </w:numPr>
        <w:spacing w:line="240" w:lineRule="auto"/>
      </w:pPr>
      <w:r>
        <w:t>If a child with cough for over 21 days, should be classified as other and referred to a health facility for further diagnosis.</w:t>
      </w:r>
    </w:p>
    <w:p w14:paraId="30033710" w14:textId="37CB82C3" w:rsidR="00C732C6" w:rsidRDefault="00C732C6" w:rsidP="00C732C6">
      <w:pPr>
        <w:pStyle w:val="Caption"/>
        <w:keepNext/>
      </w:pPr>
      <w:r>
        <w:t xml:space="preserve">Figure </w:t>
      </w:r>
      <w:r w:rsidR="00E018E1">
        <w:fldChar w:fldCharType="begin"/>
      </w:r>
      <w:r w:rsidR="00E018E1">
        <w:instrText xml:space="preserve"> SEQ Figure \* ARABIC </w:instrText>
      </w:r>
      <w:r w:rsidR="00E018E1">
        <w:fldChar w:fldCharType="separate"/>
      </w:r>
      <w:r w:rsidR="00D83509">
        <w:rPr>
          <w:noProof/>
        </w:rPr>
        <w:t>3</w:t>
      </w:r>
      <w:r w:rsidR="00E018E1">
        <w:rPr>
          <w:noProof/>
        </w:rPr>
        <w:fldChar w:fldCharType="end"/>
      </w:r>
      <w:r>
        <w:t xml:space="preserve"> – HSA’s performance of i</w:t>
      </w:r>
      <w:r w:rsidRPr="006D1175">
        <w:t>CCM assessment and classification of cough or difficult breathing</w:t>
      </w:r>
    </w:p>
    <w:p w14:paraId="487F6571" w14:textId="4E8D4A71" w:rsidR="003329DD" w:rsidRDefault="003329DD" w:rsidP="00C732C6">
      <w:pPr>
        <w:keepNext/>
        <w:spacing w:line="240" w:lineRule="auto"/>
        <w:ind w:firstLine="0"/>
      </w:pPr>
      <w:r w:rsidRPr="003329DD">
        <w:rPr>
          <w:noProof/>
          <w:lang w:eastAsia="en-GB"/>
        </w:rPr>
        <w:drawing>
          <wp:inline distT="0" distB="0" distL="0" distR="0" wp14:anchorId="78FF57FA" wp14:editId="768F2FA9">
            <wp:extent cx="5793750" cy="208685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9478" cy="2088915"/>
                    </a:xfrm>
                    <a:prstGeom prst="rect">
                      <a:avLst/>
                    </a:prstGeom>
                    <a:noFill/>
                    <a:ln>
                      <a:noFill/>
                    </a:ln>
                  </pic:spPr>
                </pic:pic>
              </a:graphicData>
            </a:graphic>
          </wp:inline>
        </w:drawing>
      </w:r>
    </w:p>
    <w:p w14:paraId="733901F4" w14:textId="77777777" w:rsidR="00C732C6" w:rsidRDefault="00C732C6" w:rsidP="006868D5">
      <w:pPr>
        <w:rPr>
          <w:b/>
        </w:rPr>
      </w:pPr>
    </w:p>
    <w:p w14:paraId="71EB823C" w14:textId="67223EDE" w:rsidR="00D43043" w:rsidRDefault="00D43043" w:rsidP="00D43043">
      <w:r>
        <w:t xml:space="preserve">Figure 3 shows </w:t>
      </w:r>
      <w:r w:rsidR="006F422F">
        <w:t xml:space="preserve">an </w:t>
      </w:r>
      <w:r>
        <w:t>approach to determine the quality of care provided by the HSAs for WHO-defined pneumonia.  Based on the signs and symptoms derived in the natural history model, the iCCM classification of ‘no pneumonia’, ‘non-severe pneumonia’ and ‘severe pneumonia’ will be generated in the diagnostic algorithm module, and presented as the ‘gold standard’.</w:t>
      </w:r>
      <w:r w:rsidRPr="00D43043">
        <w:t xml:space="preserve"> </w:t>
      </w:r>
      <w:r>
        <w:t>Then, a sensitivity of correct classification by the HSA is applied, if the case was not correctly classified, it will be given a probability of a classification of the other two possible classifications</w:t>
      </w:r>
    </w:p>
    <w:p w14:paraId="245CAEB6" w14:textId="77777777" w:rsidR="00D43043" w:rsidRDefault="00D43043" w:rsidP="00D43043">
      <w:r>
        <w:t>Following the assessment and classifications given by the HSA, the probability of correct d</w:t>
      </w:r>
      <w:r w:rsidR="006868D5">
        <w:t xml:space="preserve">ecision to treat or refer </w:t>
      </w:r>
      <w:r>
        <w:t xml:space="preserve">is </w:t>
      </w:r>
      <w:r w:rsidR="006868D5">
        <w:t>assign</w:t>
      </w:r>
      <w:r>
        <w:t>ed</w:t>
      </w:r>
      <w:r w:rsidR="006868D5">
        <w:t xml:space="preserve">. </w:t>
      </w:r>
      <w:r>
        <w:t xml:space="preserve">For the community level, the Health System Interaction (HSI) events are: </w:t>
      </w:r>
    </w:p>
    <w:p w14:paraId="27D72A73" w14:textId="77777777" w:rsidR="00D43043" w:rsidRDefault="00D43043" w:rsidP="00D43043">
      <w:pPr>
        <w:pStyle w:val="ListParagraph"/>
        <w:numPr>
          <w:ilvl w:val="0"/>
          <w:numId w:val="27"/>
        </w:numPr>
      </w:pPr>
      <w:r w:rsidRPr="00D43043">
        <w:t>HSI_iCCM_Pneumonia_Treatment_level_0</w:t>
      </w:r>
      <w:r>
        <w:t xml:space="preserve">, </w:t>
      </w:r>
    </w:p>
    <w:p w14:paraId="791AC1E5" w14:textId="795547C2" w:rsidR="00D43043" w:rsidRPr="004869A5" w:rsidRDefault="00D43043" w:rsidP="00D43043">
      <w:pPr>
        <w:pStyle w:val="ListParagraph"/>
        <w:numPr>
          <w:ilvl w:val="0"/>
          <w:numId w:val="27"/>
        </w:numPr>
      </w:pPr>
      <w:r w:rsidRPr="00D43043">
        <w:t>HSI_iCCM_Severe_Pneumonia_Treatment_level_0</w:t>
      </w:r>
    </w:p>
    <w:p w14:paraId="640C7036" w14:textId="1315A9E4" w:rsidR="004869A5" w:rsidRPr="004869A5" w:rsidRDefault="00BF5F97" w:rsidP="00BF5F97">
      <w:pPr>
        <w:pStyle w:val="Heading3"/>
      </w:pPr>
      <w:bookmarkStart w:id="17" w:name="_Toc64288813"/>
      <w:r>
        <w:t>Care management at</w:t>
      </w:r>
      <w:r w:rsidR="004869A5">
        <w:t xml:space="preserve"> the primary level (facility level 1)</w:t>
      </w:r>
      <w:bookmarkEnd w:id="17"/>
    </w:p>
    <w:p w14:paraId="7FB289A1" w14:textId="34FFA6C4" w:rsidR="00E31097" w:rsidRDefault="00E31097" w:rsidP="00E31097">
      <w:r>
        <w:t xml:space="preserve">Within the health system at the primary care level, clinical diagnosis of pneumonia follows the WHO IMNCI approach, a simplified guide to detect fast breathing, chest-indrawing and general danger signs (Table </w:t>
      </w:r>
      <w:r w:rsidR="00C87F09">
        <w:t>1</w:t>
      </w:r>
      <w:r>
        <w:t>). Suspected cases are further classified as ‘non-severe’ or ‘severe’ on the basis of the severity of symptoms, and managed accordingly. Classification indicates severity rather than an exact diagnosis. It does not include chest examination with auscultatory findings including, wheeze, crackles, bronchial breath sounds, percussion findings</w:t>
      </w:r>
      <w:r>
        <w:fldChar w:fldCharType="begin" w:fldLock="1"/>
      </w:r>
      <w:r w:rsidR="008C02B1">
        <w:instrText>ADDIN CSL_CITATION {"citationItems":[{"id":"ITEM-1","itemData":{"ISBN":"9789241548083","PMID":"26203492","abstract":"To improve survival and quality of life among the 2.5 million children living with HIV, a comprehensive package of prevention, care and treatment is required. This package should include management of infections such as pneumonia, diarrhoea, malaria and ear infections, as well as common opportunistic infections and HIV-related co-morbidities. WHO is developing a series of guidelines on each of these conditions, following the GRADE approach. The document on the management of pneumonia and diarrhoea in HIV-infected infants and children is the first of this series. The recommendations are similar to those for non infected children, but they cover specific aspects related to HIV infection.","container-title":"WHO Recommendations on the Management of Diarrhoea and Pneumonia in HIV-Infected Infants and Children: Integrated Management of Childhood Illness (IMCI)","id":"ITEM-1","issued":{"date-parts":[["2010"]]},"publisher":"World Health Organization","title":"WHO Recommendations on the Management of Diarrhoea and Pneumonia in HIV-Infected Infants and Children","type":"book"},"uris":["http://www.mendeley.com/documents/?uuid=5889995b-f06f-395c-b0b7-aa29a4e8a2e6"]}],"mendeley":{"formattedCitation":"&lt;sup&gt;44&lt;/sup&gt;","plainTextFormattedCitation":"44","previouslyFormattedCitation":"&lt;sup&gt;43&lt;/sup&gt;"},"properties":{"noteIndex":0},"schema":"https://github.com/citation-style-language/schema/raw/master/csl-citation.json"}</w:instrText>
      </w:r>
      <w:r>
        <w:fldChar w:fldCharType="separate"/>
      </w:r>
      <w:r w:rsidR="008C02B1" w:rsidRPr="008C02B1">
        <w:rPr>
          <w:noProof/>
          <w:vertAlign w:val="superscript"/>
        </w:rPr>
        <w:t>44</w:t>
      </w:r>
      <w:r>
        <w:fldChar w:fldCharType="end"/>
      </w:r>
      <w:r>
        <w:t>. At the first referral level (district hospital and CHAM</w:t>
      </w:r>
      <w:r w:rsidR="00C732C6">
        <w:rPr>
          <w:rStyle w:val="FootnoteReference"/>
        </w:rPr>
        <w:footnoteReference w:id="1"/>
      </w:r>
      <w:r>
        <w:t xml:space="preserve"> hospital) chest radiograph may be performed in combination with clinical findings for further differential diagnosis of respiratory conditions, including complications related to ALRI.</w:t>
      </w:r>
    </w:p>
    <w:p w14:paraId="7F56DBA6" w14:textId="39E56AE4" w:rsidR="00E31097" w:rsidRDefault="00E31097" w:rsidP="00E31097">
      <w:r>
        <w:t xml:space="preserve">Illustrated in Figure </w:t>
      </w:r>
      <w:r w:rsidR="001002CD">
        <w:t>3</w:t>
      </w:r>
      <w:r>
        <w:t>, is the approach to determine the quality of service provided by health workers at the first level health facility (health centres and community hospitals) for WHO-defined pneumonia. Depending on symptoms generated in the natural history model, an IMCI classification of ‘no pneumonia/common cold’, ‘non-severe pneumonia’ and ‘severe pneumonia’ will be generated in the diagnostic algorithm module, and presented as the ‘gold standard’. Then, a sensitivity of correct classification by the health worker is applied, if the case was not correctly classified, it will be given a probability of a classification of the other two possible classification. E.g. a child presenting symptoms that fall into the IMCI ‘severe pneumonia’ can be either given the right classification, or the other two ‘non-severe pneumonia’ or ‘no pneumonia’ classification, which will then be treated accordingly.</w:t>
      </w:r>
    </w:p>
    <w:p w14:paraId="42355A61" w14:textId="542D38C4" w:rsidR="00E31097" w:rsidRDefault="00E31097" w:rsidP="00E31097">
      <w:pPr>
        <w:pStyle w:val="Caption"/>
        <w:keepNext/>
      </w:pPr>
      <w:r>
        <w:lastRenderedPageBreak/>
        <w:t xml:space="preserve">Figure </w:t>
      </w:r>
      <w:r w:rsidR="00E018E1">
        <w:fldChar w:fldCharType="begin"/>
      </w:r>
      <w:r w:rsidR="00E018E1">
        <w:instrText xml:space="preserve"> SEQ Figure \* ARABIC </w:instrText>
      </w:r>
      <w:r w:rsidR="00E018E1">
        <w:fldChar w:fldCharType="separate"/>
      </w:r>
      <w:r w:rsidR="00D83509">
        <w:rPr>
          <w:noProof/>
        </w:rPr>
        <w:t>4</w:t>
      </w:r>
      <w:r w:rsidR="00E018E1">
        <w:rPr>
          <w:noProof/>
        </w:rPr>
        <w:fldChar w:fldCharType="end"/>
      </w:r>
      <w:r>
        <w:t xml:space="preserve"> – Quality of IMCI service provision for ALRI assessment</w:t>
      </w:r>
      <w:r w:rsidR="00352DFA">
        <w:t xml:space="preserve"> and classification</w:t>
      </w:r>
      <w:r>
        <w:t xml:space="preserve"> (2-59 months)</w:t>
      </w:r>
    </w:p>
    <w:p w14:paraId="13D90472" w14:textId="77777777" w:rsidR="00E31097" w:rsidRDefault="00E31097" w:rsidP="00E31097">
      <w:pPr>
        <w:keepNext/>
        <w:ind w:firstLine="0"/>
      </w:pPr>
      <w:r w:rsidRPr="00233130">
        <w:rPr>
          <w:noProof/>
          <w:lang w:eastAsia="en-GB"/>
        </w:rPr>
        <w:drawing>
          <wp:inline distT="0" distB="0" distL="0" distR="0" wp14:anchorId="55E22DE6" wp14:editId="6107BCAD">
            <wp:extent cx="6073006" cy="2283446"/>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4238" cy="2295189"/>
                    </a:xfrm>
                    <a:prstGeom prst="rect">
                      <a:avLst/>
                    </a:prstGeom>
                    <a:noFill/>
                    <a:ln>
                      <a:noFill/>
                    </a:ln>
                  </pic:spPr>
                </pic:pic>
              </a:graphicData>
            </a:graphic>
          </wp:inline>
        </w:drawing>
      </w:r>
    </w:p>
    <w:p w14:paraId="4530B7FA" w14:textId="7E816A06" w:rsidR="00E31097" w:rsidRDefault="00E31097" w:rsidP="00EE24C5">
      <w:r w:rsidRPr="00DD494B">
        <w:t xml:space="preserve">This rationale will be applied for the other childhood-related diseases within the IMCI, </w:t>
      </w:r>
      <w:r>
        <w:t xml:space="preserve">starting with the assessment of main symptoms: cough/difficult breathing (for pneumonia), fever, diarrhoea, nutritional status, HIV status check and immunization check. Then, apply the sensitivity of correct classification and following action plan. Similarly, Figure </w:t>
      </w:r>
      <w:r w:rsidR="00BF5F97">
        <w:t>5</w:t>
      </w:r>
      <w:r>
        <w:t>, is the approach to determine whether a child with IMCI classification of pneumonia has been given it</w:t>
      </w:r>
      <w:r w:rsidR="00EE24C5">
        <w:t>s correct respective treatment.</w:t>
      </w:r>
    </w:p>
    <w:p w14:paraId="790ECC1B" w14:textId="0A27BB87" w:rsidR="00E31097" w:rsidRDefault="00E31097" w:rsidP="00E31097">
      <w:pPr>
        <w:pStyle w:val="Caption"/>
        <w:keepNext/>
      </w:pPr>
      <w:r>
        <w:t xml:space="preserve">Figure </w:t>
      </w:r>
      <w:r w:rsidR="00E018E1">
        <w:fldChar w:fldCharType="begin"/>
      </w:r>
      <w:r w:rsidR="00E018E1">
        <w:instrText xml:space="preserve"> SEQ Figure \* ARABIC </w:instrText>
      </w:r>
      <w:r w:rsidR="00E018E1">
        <w:fldChar w:fldCharType="separate"/>
      </w:r>
      <w:r w:rsidR="00D83509">
        <w:rPr>
          <w:noProof/>
        </w:rPr>
        <w:t>5</w:t>
      </w:r>
      <w:r w:rsidR="00E018E1">
        <w:rPr>
          <w:noProof/>
        </w:rPr>
        <w:fldChar w:fldCharType="end"/>
      </w:r>
      <w:r>
        <w:t xml:space="preserve"> – Quality of IMCI service provision for correct pneumonia treatment (2-59 month)</w:t>
      </w:r>
    </w:p>
    <w:p w14:paraId="7A529EA1" w14:textId="4D89D23D" w:rsidR="004A1528" w:rsidRPr="004A1528" w:rsidRDefault="004A1528" w:rsidP="004A1528">
      <w:pPr>
        <w:ind w:firstLine="0"/>
      </w:pPr>
      <w:r w:rsidRPr="004A1528">
        <w:rPr>
          <w:noProof/>
          <w:lang w:eastAsia="en-GB"/>
        </w:rPr>
        <w:drawing>
          <wp:inline distT="0" distB="0" distL="0" distR="0" wp14:anchorId="1DC3ED9C" wp14:editId="4D9C5D55">
            <wp:extent cx="6088714" cy="2092480"/>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491" cy="2103401"/>
                    </a:xfrm>
                    <a:prstGeom prst="rect">
                      <a:avLst/>
                    </a:prstGeom>
                    <a:noFill/>
                    <a:ln>
                      <a:noFill/>
                    </a:ln>
                  </pic:spPr>
                </pic:pic>
              </a:graphicData>
            </a:graphic>
          </wp:inline>
        </w:drawing>
      </w:r>
    </w:p>
    <w:p w14:paraId="1BA937A7" w14:textId="5B8A9C0A" w:rsidR="004869A5" w:rsidRDefault="00E31097" w:rsidP="00BF5F97">
      <w:r>
        <w:t>In the same rationale as the assessment and classification of IMCI pneumonia, the quality of service provision in terms of correct treatment given is also part of the diagnostic algorithm module, and as of an important step as in the assessment and classification. If classification of ‘no pneumonia’ only supportive care at home is advised and no antibiotics are given; ‘non-severe pneumonia’ classification requires antibiotics only; and ‘severe pneumonia’ requires referral for further care, antibiotics and oxygen therapy. Since over-prescription of antibiotics is a common practice in Malawi facilities for children presenting cough or difficult breathing without IMCI pneumonia classification</w:t>
      </w:r>
      <w:r>
        <w:fldChar w:fldCharType="begin" w:fldLock="1"/>
      </w:r>
      <w:r w:rsidR="008C02B1">
        <w:instrText>ADDIN CSL_CITATION {"citationItems":[{"id":"ITEM-1","itemData":{"DOI":"10.7189/jogh.07.020408","ISSN":"20472986","PMID":"29163934","abstract":"Background Research shows inadequate Integrated Management of Childhood Illness (IMCI)-pneumonia care in various low-income settings but evidence is largely from small-scale studies with limited evidence of patient-, provider- and facility-levels determinants of IMCI non-severe pneumonia classification and its management. Methods The Malawi Service Provision Assessment 2013-2014 included 3149 outpatients aged 2-59 months with completed observations, interviews and re-examinations. Mixed-effects logistic regression models quantified the influence of patient-, provider and facility-level determinants on having IMCI non-severe pneumonia and its management in observed consultations. Findings Among 3149 eligible outpatients, 590 (18.7%) had IMCI non-severe pneumonia classification in re-examination. 228 (38.7%) classified cases received first-line antibiotics and 159 (26.9%) received no antibiotics. 18.6% with cough or difficult breathing had 60-second respiratory rates counted during consultations, and conducting this assessment was significantly associated with IMCI training ever received (odds ratio (OR) = 2.37, 95% confidence interval (CI): 1.29-4.31) and negative rapid diagnostic test results (OR = 3.21, 95% CI: 1.45-7.13). Older children had lower odds of assessments than infants (OR = 48-59 months: 0.35, 95% CI: 0.16-0.75). Children presenting with any of the following complaints also had reduced odds of assessment: fever, diarrhea, skin problem or any danger sign. First-line antibiotic treatment for classified cases was significantly associated with high temperatures (OR = 3.26, 95% CI: 1.24-8.55) while older children had reduced odds of first-line treatment compared to infants (OR = 48-59 months: 0.29, 95% CI: 0.10-0.83). RDT-confirmed malaria was a significant predictor of no antibiotic receipt for IMCI non-severe pneumonia (OR = 10.65, 95% CI: 2.39-47.36). Conclusions IMCI non-severe pneumonia care was sub-optimal in Malawi health facilities in 2013-2014 with inadequate assessments and prescribing practices that must be addressed to reduce this leading cause of mortality. Child's symptoms and age, malaria diagnosis and provider training were primary influences on assessment and treatment practices. Current evidence could be used to better target IMCI training and support to improve pneumonia care for sick children in Malawi facilities.","author":[{"dropping-particle":"","family":"Johansson","given":"Emily White","non-dropping-particle":"","parse-names":false,"suffix":""},{"dropping-particle":"","family":"Nsona","given":"Humphreys","non-dropping-particle":"","parse-names":false,"suffix":""},{"dropping-particle":"","family":"Carvajal-Aguirre","given":"Liliana","non-dropping-particle":"","parse-names":false,"suffix":""},{"dropping-particle":"","family":"Amouzou","given":"Agbessi","non-dropping-particle":"","parse-names":false,"suffix":""},{"dropping-particle":"","family":"Hildenwall","given":"Helena","non-dropping-particle":"","parse-names":false,"suffix":""}],"container-title":"Journal of Global Health","id":"ITEM-1","issue":"2","issued":{"date-parts":[["2017","11","9"]]},"publisher":"University of Edinburgh","title":"Determinants of Integrated Management of hildhood Illness (IMCI) non-severe pneumonia classification and care in Malawi health facilities: Analysis of a national facility census","type":"article-journal","volume":"7"},"uris":["http://www.mendeley.com/documents/?uuid=ea35cede-3fd5-3453-b0ed-46f1cdc5ca04"]}],"mendeley":{"formattedCitation":"&lt;sup&gt;45&lt;/sup&gt;","plainTextFormattedCitation":"45","previouslyFormattedCitation":"&lt;sup&gt;44&lt;/sup&gt;"},"properties":{"noteIndex":0},"schema":"https://github.com/citation-style-language/schema/raw/master/csl-citation.json"}</w:instrText>
      </w:r>
      <w:r>
        <w:fldChar w:fldCharType="separate"/>
      </w:r>
      <w:r w:rsidR="008C02B1" w:rsidRPr="008C02B1">
        <w:rPr>
          <w:noProof/>
          <w:vertAlign w:val="superscript"/>
        </w:rPr>
        <w:t>45</w:t>
      </w:r>
      <w:r>
        <w:fldChar w:fldCharType="end"/>
      </w:r>
      <w:r>
        <w:t>, this would be an importan</w:t>
      </w:r>
      <w:r w:rsidR="00BF5F97">
        <w:t>t issue to measure and address.</w:t>
      </w:r>
    </w:p>
    <w:p w14:paraId="0662BDAE" w14:textId="5DBE46E2" w:rsidR="0031183B" w:rsidRDefault="0031183B" w:rsidP="00BF5F97">
      <w:r>
        <w:t>The HSI events for cough/ difficult breathing at the facility level 1 include:</w:t>
      </w:r>
    </w:p>
    <w:p w14:paraId="67B230F4" w14:textId="636A6BB4" w:rsidR="0031183B" w:rsidRDefault="0031183B" w:rsidP="0031183B">
      <w:pPr>
        <w:tabs>
          <w:tab w:val="left" w:pos="8704"/>
        </w:tabs>
        <w:ind w:firstLine="0"/>
      </w:pPr>
      <w:r w:rsidRPr="0031183B">
        <w:t>HSI_IMCI_No_Pneumonia_Treatment_level_1</w:t>
      </w:r>
      <w:r>
        <w:t xml:space="preserve"> (no consumables/ home care advice)</w:t>
      </w:r>
      <w:r>
        <w:tab/>
      </w:r>
    </w:p>
    <w:p w14:paraId="04B2D201" w14:textId="178E90D5" w:rsidR="0031183B" w:rsidRDefault="0031183B" w:rsidP="0031183B">
      <w:pPr>
        <w:tabs>
          <w:tab w:val="left" w:pos="8704"/>
        </w:tabs>
        <w:ind w:firstLine="0"/>
      </w:pPr>
      <w:r w:rsidRPr="0031183B">
        <w:t>HSI_IMCI_Pneumonia_Treatment_level_1</w:t>
      </w:r>
    </w:p>
    <w:p w14:paraId="138F2729" w14:textId="5282CD95" w:rsidR="0031183B" w:rsidRDefault="00826D33" w:rsidP="00826D33">
      <w:pPr>
        <w:tabs>
          <w:tab w:val="left" w:pos="8704"/>
        </w:tabs>
        <w:ind w:firstLine="0"/>
      </w:pPr>
      <w:r w:rsidRPr="00826D33">
        <w:t>HSI_IMCI_Severe_Pneumonia_Treatment_level_1</w:t>
      </w:r>
    </w:p>
    <w:p w14:paraId="4024DAC0" w14:textId="46820D4A" w:rsidR="004869A5" w:rsidRDefault="00BF5F97" w:rsidP="00BF5F97">
      <w:pPr>
        <w:pStyle w:val="Heading3"/>
      </w:pPr>
      <w:bookmarkStart w:id="18" w:name="_Toc64288814"/>
      <w:r>
        <w:t>Care management at</w:t>
      </w:r>
      <w:r w:rsidR="004869A5">
        <w:t xml:space="preserve"> the secondary level (facility level 2)</w:t>
      </w:r>
      <w:bookmarkEnd w:id="18"/>
    </w:p>
    <w:p w14:paraId="5CE7865B" w14:textId="77777777" w:rsidR="004869A5" w:rsidRPr="004869A5" w:rsidRDefault="004869A5" w:rsidP="004869A5"/>
    <w:p w14:paraId="0E0A9117" w14:textId="77777777" w:rsidR="004869A5" w:rsidRPr="00323B13" w:rsidRDefault="004869A5" w:rsidP="004869A5">
      <w:pPr>
        <w:ind w:firstLine="0"/>
        <w:rPr>
          <w:b/>
        </w:rPr>
      </w:pPr>
      <w:r w:rsidRPr="00323B13">
        <w:rPr>
          <w:b/>
        </w:rPr>
        <w:t>Signs and symptoms from Hospital Pocketbook:</w:t>
      </w:r>
    </w:p>
    <w:p w14:paraId="466CCB43" w14:textId="77777777" w:rsidR="004869A5" w:rsidRDefault="004869A5" w:rsidP="004869A5">
      <w:pPr>
        <w:ind w:firstLine="0"/>
      </w:pPr>
      <w:r w:rsidRPr="00323B13">
        <w:rPr>
          <w:b/>
        </w:rPr>
        <w:t>Severe pneumonia</w:t>
      </w:r>
      <w:r>
        <w:t xml:space="preserve"> diagnosis – cough or difficulty in breathing, plus at least one of the following:</w:t>
      </w:r>
    </w:p>
    <w:p w14:paraId="56BEB41D" w14:textId="77777777" w:rsidR="004869A5" w:rsidRDefault="004869A5" w:rsidP="004869A5">
      <w:pPr>
        <w:pStyle w:val="ListParagraph"/>
        <w:numPr>
          <w:ilvl w:val="0"/>
          <w:numId w:val="13"/>
        </w:numPr>
      </w:pPr>
      <w:r>
        <w:t>Central cyanosis or oxygen saturation &lt; 90% on pulse oximetry</w:t>
      </w:r>
    </w:p>
    <w:p w14:paraId="6D109027" w14:textId="77777777" w:rsidR="004869A5" w:rsidRDefault="004869A5" w:rsidP="004869A5">
      <w:pPr>
        <w:pStyle w:val="ListParagraph"/>
        <w:numPr>
          <w:ilvl w:val="0"/>
          <w:numId w:val="13"/>
        </w:numPr>
      </w:pPr>
      <w:r>
        <w:t>Severe respiratory distress (e.g. grunting, very severe chest indrawing)</w:t>
      </w:r>
    </w:p>
    <w:p w14:paraId="2F771D48" w14:textId="77777777" w:rsidR="004869A5" w:rsidRDefault="004869A5" w:rsidP="004869A5">
      <w:pPr>
        <w:pStyle w:val="ListParagraph"/>
        <w:numPr>
          <w:ilvl w:val="0"/>
          <w:numId w:val="13"/>
        </w:numPr>
      </w:pPr>
      <w:r>
        <w:t>Signs of pneumonia with a general danger sign: inability to breastfeed or drink, lethargy or unconscious, convulsions.</w:t>
      </w:r>
    </w:p>
    <w:p w14:paraId="07AB2967" w14:textId="77777777" w:rsidR="004869A5" w:rsidRDefault="004869A5" w:rsidP="004869A5">
      <w:pPr>
        <w:pStyle w:val="ListParagraph"/>
        <w:numPr>
          <w:ilvl w:val="0"/>
          <w:numId w:val="13"/>
        </w:numPr>
      </w:pPr>
      <w:r>
        <w:lastRenderedPageBreak/>
        <w:t xml:space="preserve">In addition some or all of the other signs of pneumonia may be present: </w:t>
      </w:r>
    </w:p>
    <w:p w14:paraId="4C600A84" w14:textId="77777777" w:rsidR="004869A5" w:rsidRDefault="004869A5" w:rsidP="004869A5">
      <w:pPr>
        <w:pStyle w:val="ListParagraph"/>
        <w:numPr>
          <w:ilvl w:val="1"/>
          <w:numId w:val="13"/>
        </w:numPr>
        <w:spacing w:line="240" w:lineRule="auto"/>
      </w:pPr>
      <w:r>
        <w:t>fast breathing age 2-11 months &gt;=50/min, age 1-5 years &gt;=40/min</w:t>
      </w:r>
    </w:p>
    <w:p w14:paraId="1B804957" w14:textId="77777777" w:rsidR="004869A5" w:rsidRDefault="004869A5" w:rsidP="004869A5">
      <w:pPr>
        <w:pStyle w:val="ListParagraph"/>
        <w:numPr>
          <w:ilvl w:val="1"/>
          <w:numId w:val="13"/>
        </w:numPr>
        <w:spacing w:line="240" w:lineRule="auto"/>
      </w:pPr>
      <w:r>
        <w:t>chest indrawing</w:t>
      </w:r>
    </w:p>
    <w:p w14:paraId="238A4ADA" w14:textId="77777777" w:rsidR="004869A5" w:rsidRDefault="004869A5" w:rsidP="004869A5">
      <w:pPr>
        <w:pStyle w:val="ListParagraph"/>
        <w:numPr>
          <w:ilvl w:val="1"/>
          <w:numId w:val="13"/>
        </w:numPr>
        <w:spacing w:line="240" w:lineRule="auto"/>
      </w:pPr>
      <w:r>
        <w:t>chest auscultation signs: decreased breath sounds, bronchial breath sounds, crackles, abnormal vocal resonance (decreased over pleural effusion or empyema, increased over lobar consolidation), pleural rub.</w:t>
      </w:r>
    </w:p>
    <w:p w14:paraId="0B66422C" w14:textId="77777777" w:rsidR="004869A5" w:rsidRDefault="004869A5" w:rsidP="004869A5">
      <w:r>
        <w:t>Investigations:</w:t>
      </w:r>
    </w:p>
    <w:p w14:paraId="6D055591" w14:textId="77777777" w:rsidR="004869A5" w:rsidRDefault="004869A5" w:rsidP="004869A5">
      <w:r>
        <w:t>Measure oxygen saturation with pulse oximetry in all children suspected of having pneumonia</w:t>
      </w:r>
    </w:p>
    <w:p w14:paraId="00B095BD" w14:textId="77777777" w:rsidR="004869A5" w:rsidRDefault="004869A5" w:rsidP="004869A5">
      <w:r>
        <w:t xml:space="preserve">If possible, obtain chest X-ray to identify pleural effusion, empyema, pneumothorax, pneumatocoele, interstitial pneumonia, pericardial effusion. </w:t>
      </w:r>
    </w:p>
    <w:p w14:paraId="116D2318" w14:textId="77777777" w:rsidR="004869A5" w:rsidRDefault="004869A5" w:rsidP="004869A5">
      <w:pPr>
        <w:ind w:firstLine="0"/>
      </w:pPr>
    </w:p>
    <w:p w14:paraId="22E80260" w14:textId="77777777" w:rsidR="004869A5" w:rsidRDefault="004869A5" w:rsidP="004869A5">
      <w:pPr>
        <w:ind w:firstLine="0"/>
      </w:pPr>
      <w:r>
        <w:rPr>
          <w:b/>
        </w:rPr>
        <w:t>P</w:t>
      </w:r>
      <w:r w:rsidRPr="00323B13">
        <w:rPr>
          <w:b/>
        </w:rPr>
        <w:t>neumonia</w:t>
      </w:r>
      <w:r>
        <w:t xml:space="preserve"> diagnosis – cough or difficulty in breathing, plus at least one of the following:</w:t>
      </w:r>
    </w:p>
    <w:p w14:paraId="39AFD3C3" w14:textId="77777777" w:rsidR="004869A5" w:rsidRDefault="004869A5" w:rsidP="004869A5">
      <w:pPr>
        <w:pStyle w:val="ListParagraph"/>
        <w:numPr>
          <w:ilvl w:val="0"/>
          <w:numId w:val="15"/>
        </w:numPr>
      </w:pPr>
      <w:r>
        <w:t>fast breathing age 2-11 months &gt;=50/min, age 1-5 years &gt;=40/min</w:t>
      </w:r>
    </w:p>
    <w:p w14:paraId="295BA87C" w14:textId="77777777" w:rsidR="004869A5" w:rsidRDefault="004869A5" w:rsidP="004869A5">
      <w:pPr>
        <w:pStyle w:val="ListParagraph"/>
        <w:numPr>
          <w:ilvl w:val="0"/>
          <w:numId w:val="15"/>
        </w:numPr>
      </w:pPr>
      <w:r>
        <w:t>lower chest wall indrawing</w:t>
      </w:r>
    </w:p>
    <w:p w14:paraId="3C5B6787" w14:textId="77777777" w:rsidR="004869A5" w:rsidRDefault="004869A5" w:rsidP="004869A5">
      <w:pPr>
        <w:ind w:firstLine="0"/>
      </w:pPr>
      <w:r>
        <w:t>In addition either crackles or pleural rub may be present on chest auscultation. Check that there are no signs of severe pneumonia, such as:</w:t>
      </w:r>
    </w:p>
    <w:p w14:paraId="199F6EA7" w14:textId="77777777" w:rsidR="004869A5" w:rsidRDefault="004869A5" w:rsidP="004869A5">
      <w:pPr>
        <w:spacing w:line="240" w:lineRule="auto"/>
        <w:ind w:firstLine="0"/>
      </w:pPr>
      <w:r>
        <w:t xml:space="preserve">– oxygen saturation &lt; 90% on pulse oximetry or central cyanosis </w:t>
      </w:r>
    </w:p>
    <w:p w14:paraId="1464B085" w14:textId="77777777" w:rsidR="004869A5" w:rsidRDefault="004869A5" w:rsidP="004869A5">
      <w:pPr>
        <w:spacing w:line="240" w:lineRule="auto"/>
        <w:ind w:firstLine="0"/>
      </w:pPr>
      <w:r>
        <w:t xml:space="preserve">– severe respiratory distress (e.g. grunting, very severe chest indrawing) </w:t>
      </w:r>
    </w:p>
    <w:p w14:paraId="75D4AC77" w14:textId="77777777" w:rsidR="004869A5" w:rsidRDefault="004869A5" w:rsidP="004869A5">
      <w:pPr>
        <w:spacing w:line="240" w:lineRule="auto"/>
        <w:ind w:firstLine="0"/>
      </w:pPr>
      <w:r>
        <w:t xml:space="preserve">– inability to breastfeed or drink or vomiting everything </w:t>
      </w:r>
    </w:p>
    <w:p w14:paraId="7AE93C60" w14:textId="77777777" w:rsidR="004869A5" w:rsidRDefault="004869A5" w:rsidP="004869A5">
      <w:pPr>
        <w:spacing w:line="240" w:lineRule="auto"/>
        <w:ind w:firstLine="0"/>
      </w:pPr>
      <w:r>
        <w:t xml:space="preserve">– convulsions, lethargy or reduced level of consciousness </w:t>
      </w:r>
    </w:p>
    <w:p w14:paraId="60BE257C" w14:textId="77777777" w:rsidR="004869A5" w:rsidRDefault="004869A5" w:rsidP="004869A5">
      <w:pPr>
        <w:spacing w:line="240" w:lineRule="auto"/>
        <w:ind w:firstLine="0"/>
      </w:pPr>
      <w:r>
        <w:t>– auscultatory findings of decreased or bronchial breath sounds or signs of pleural effusion or empyema.#</w:t>
      </w:r>
    </w:p>
    <w:p w14:paraId="79B0F490" w14:textId="77777777" w:rsidR="004869A5" w:rsidRDefault="004869A5" w:rsidP="004869A5">
      <w:pPr>
        <w:ind w:firstLine="0"/>
      </w:pPr>
    </w:p>
    <w:p w14:paraId="14A33572" w14:textId="77777777" w:rsidR="004869A5" w:rsidRPr="00ED3B2F" w:rsidRDefault="004869A5" w:rsidP="004869A5">
      <w:pPr>
        <w:ind w:firstLine="0"/>
        <w:rPr>
          <w:b/>
        </w:rPr>
      </w:pPr>
      <w:r w:rsidRPr="00ED3B2F">
        <w:rPr>
          <w:b/>
        </w:rPr>
        <w:t>Pleural effusion and empyema diagnosis:</w:t>
      </w:r>
    </w:p>
    <w:p w14:paraId="54461714" w14:textId="77777777" w:rsidR="004869A5" w:rsidRDefault="004869A5" w:rsidP="004869A5">
      <w:pPr>
        <w:pStyle w:val="ListParagraph"/>
        <w:numPr>
          <w:ilvl w:val="0"/>
          <w:numId w:val="18"/>
        </w:numPr>
        <w:spacing w:line="240" w:lineRule="auto"/>
      </w:pPr>
      <w:r>
        <w:t>On examination, the chest is dull to percussion, and breath sounds are reduced or absent over the affected area</w:t>
      </w:r>
    </w:p>
    <w:p w14:paraId="1FF02ABE" w14:textId="77777777" w:rsidR="004869A5" w:rsidRDefault="004869A5" w:rsidP="004869A5">
      <w:pPr>
        <w:pStyle w:val="ListParagraph"/>
        <w:numPr>
          <w:ilvl w:val="0"/>
          <w:numId w:val="18"/>
        </w:numPr>
        <w:spacing w:line="240" w:lineRule="auto"/>
      </w:pPr>
      <w:r>
        <w:t>A pleural rub may be heard at an early stage before the effusion is fully developed.</w:t>
      </w:r>
    </w:p>
    <w:p w14:paraId="5BA471A5" w14:textId="77777777" w:rsidR="004869A5" w:rsidRDefault="004869A5" w:rsidP="004869A5">
      <w:pPr>
        <w:pStyle w:val="ListParagraph"/>
        <w:numPr>
          <w:ilvl w:val="0"/>
          <w:numId w:val="18"/>
        </w:numPr>
        <w:spacing w:line="240" w:lineRule="auto"/>
      </w:pPr>
      <w:r>
        <w:t>A chest X-ray shows fluid on one or both sides of the chest.</w:t>
      </w:r>
    </w:p>
    <w:p w14:paraId="4EA8B0BD" w14:textId="77777777" w:rsidR="004869A5" w:rsidRDefault="004869A5" w:rsidP="004869A5">
      <w:pPr>
        <w:pStyle w:val="ListParagraph"/>
        <w:numPr>
          <w:ilvl w:val="0"/>
          <w:numId w:val="18"/>
        </w:numPr>
        <w:spacing w:line="240" w:lineRule="auto"/>
      </w:pPr>
      <w:r>
        <w:t>When empyema is present, fever persists despite antibiotic therapy, and the pleural fl uid is cloudy or frankly purulent.</w:t>
      </w:r>
    </w:p>
    <w:p w14:paraId="38912EC8" w14:textId="77777777" w:rsidR="004869A5" w:rsidRDefault="004869A5" w:rsidP="004869A5">
      <w:pPr>
        <w:spacing w:line="240" w:lineRule="auto"/>
        <w:ind w:firstLine="0"/>
      </w:pPr>
      <w:r>
        <w:t>Treatment – drainage and antibiotic therapy, failure to improve – test for HIV and assess for TB</w:t>
      </w:r>
    </w:p>
    <w:p w14:paraId="34BC8C9E" w14:textId="77777777" w:rsidR="004869A5" w:rsidRDefault="004869A5" w:rsidP="004869A5">
      <w:pPr>
        <w:ind w:firstLine="0"/>
      </w:pPr>
    </w:p>
    <w:p w14:paraId="406B5AB2" w14:textId="77777777" w:rsidR="004869A5" w:rsidRPr="00ED3B2F" w:rsidRDefault="004869A5" w:rsidP="004869A5">
      <w:pPr>
        <w:ind w:firstLine="0"/>
        <w:rPr>
          <w:b/>
        </w:rPr>
      </w:pPr>
      <w:r>
        <w:rPr>
          <w:b/>
        </w:rPr>
        <w:t>Lung abscess</w:t>
      </w:r>
      <w:r w:rsidRPr="00ED3B2F">
        <w:rPr>
          <w:b/>
        </w:rPr>
        <w:t xml:space="preserve"> diagnosis:</w:t>
      </w:r>
    </w:p>
    <w:p w14:paraId="71833B93" w14:textId="77777777" w:rsidR="004869A5" w:rsidRDefault="004869A5" w:rsidP="004869A5">
      <w:pPr>
        <w:ind w:firstLine="0"/>
      </w:pPr>
      <w:r>
        <w:t xml:space="preserve">Common signs and symptoms: </w:t>
      </w:r>
    </w:p>
    <w:p w14:paraId="5291593B" w14:textId="77777777" w:rsidR="004869A5" w:rsidRDefault="004869A5" w:rsidP="004869A5">
      <w:pPr>
        <w:pStyle w:val="ListParagraph"/>
        <w:numPr>
          <w:ilvl w:val="0"/>
          <w:numId w:val="19"/>
        </w:numPr>
        <w:spacing w:line="240" w:lineRule="auto"/>
      </w:pPr>
      <w:r>
        <w:t xml:space="preserve">Fever </w:t>
      </w:r>
    </w:p>
    <w:p w14:paraId="2D191CC1" w14:textId="77777777" w:rsidR="004869A5" w:rsidRDefault="004869A5" w:rsidP="004869A5">
      <w:pPr>
        <w:pStyle w:val="ListParagraph"/>
        <w:numPr>
          <w:ilvl w:val="0"/>
          <w:numId w:val="19"/>
        </w:numPr>
        <w:spacing w:line="240" w:lineRule="auto"/>
      </w:pPr>
      <w:r>
        <w:t xml:space="preserve">Pleuritic chest pain </w:t>
      </w:r>
    </w:p>
    <w:p w14:paraId="3770D64E" w14:textId="77777777" w:rsidR="004869A5" w:rsidRDefault="004869A5" w:rsidP="004869A5">
      <w:pPr>
        <w:pStyle w:val="ListParagraph"/>
        <w:numPr>
          <w:ilvl w:val="0"/>
          <w:numId w:val="19"/>
        </w:numPr>
        <w:spacing w:line="240" w:lineRule="auto"/>
      </w:pPr>
      <w:r>
        <w:t xml:space="preserve">Sputum production or haemoptysis </w:t>
      </w:r>
    </w:p>
    <w:p w14:paraId="7EDA3F08" w14:textId="77777777" w:rsidR="004869A5" w:rsidRDefault="004869A5" w:rsidP="004869A5">
      <w:pPr>
        <w:pStyle w:val="ListParagraph"/>
        <w:numPr>
          <w:ilvl w:val="0"/>
          <w:numId w:val="19"/>
        </w:numPr>
        <w:spacing w:line="240" w:lineRule="auto"/>
      </w:pPr>
      <w:r>
        <w:t xml:space="preserve">Weight loss </w:t>
      </w:r>
    </w:p>
    <w:p w14:paraId="15B107CD" w14:textId="77777777" w:rsidR="004869A5" w:rsidRDefault="004869A5" w:rsidP="004869A5">
      <w:pPr>
        <w:pStyle w:val="ListParagraph"/>
        <w:numPr>
          <w:ilvl w:val="0"/>
          <w:numId w:val="19"/>
        </w:numPr>
        <w:spacing w:line="240" w:lineRule="auto"/>
      </w:pPr>
      <w:r>
        <w:t xml:space="preserve">On examination: reduced chest movement, decreased breath sounds, dullness to percussion, crackles, and bronchial breathing. </w:t>
      </w:r>
    </w:p>
    <w:p w14:paraId="4384FA8C" w14:textId="77777777" w:rsidR="004869A5" w:rsidRDefault="004869A5" w:rsidP="004869A5">
      <w:pPr>
        <w:pStyle w:val="ListParagraph"/>
        <w:numPr>
          <w:ilvl w:val="0"/>
          <w:numId w:val="19"/>
        </w:numPr>
        <w:spacing w:line="240" w:lineRule="auto"/>
      </w:pPr>
      <w:r>
        <w:t xml:space="preserve">Chest X-ray: solitary, thick-walled cavity in the lung with or without air fluid level. </w:t>
      </w:r>
    </w:p>
    <w:p w14:paraId="5F8C93BD" w14:textId="77777777" w:rsidR="004869A5" w:rsidRDefault="004869A5" w:rsidP="004869A5">
      <w:pPr>
        <w:pStyle w:val="ListParagraph"/>
        <w:numPr>
          <w:ilvl w:val="0"/>
          <w:numId w:val="19"/>
        </w:numPr>
        <w:spacing w:line="240" w:lineRule="auto"/>
      </w:pPr>
      <w:r>
        <w:t>Ultrasonography and CT scan: to localize the lesion and guide drainage or needle aspiration.</w:t>
      </w:r>
    </w:p>
    <w:p w14:paraId="2F0CB36C" w14:textId="77777777" w:rsidR="004869A5" w:rsidRDefault="004869A5" w:rsidP="004869A5">
      <w:pPr>
        <w:spacing w:line="240" w:lineRule="auto"/>
        <w:ind w:firstLine="0"/>
      </w:pPr>
      <w:r>
        <w:t>Treatment – antibiotics treatment, surgical management</w:t>
      </w:r>
    </w:p>
    <w:p w14:paraId="154BF015" w14:textId="77777777" w:rsidR="004869A5" w:rsidRDefault="004869A5" w:rsidP="004869A5">
      <w:pPr>
        <w:spacing w:line="240" w:lineRule="auto"/>
        <w:ind w:firstLine="0"/>
      </w:pPr>
    </w:p>
    <w:p w14:paraId="1D4611CC" w14:textId="77777777" w:rsidR="004869A5" w:rsidRDefault="004869A5" w:rsidP="004869A5">
      <w:pPr>
        <w:ind w:firstLine="0"/>
        <w:rPr>
          <w:b/>
        </w:rPr>
      </w:pPr>
      <w:r>
        <w:rPr>
          <w:b/>
        </w:rPr>
        <w:t>Pneumothorax</w:t>
      </w:r>
      <w:r w:rsidRPr="00ED3B2F">
        <w:rPr>
          <w:b/>
        </w:rPr>
        <w:t xml:space="preserve"> diagnosis:</w:t>
      </w:r>
    </w:p>
    <w:p w14:paraId="2425937B" w14:textId="77777777" w:rsidR="004869A5" w:rsidRDefault="004869A5" w:rsidP="004869A5">
      <w:pPr>
        <w:pStyle w:val="ListParagraph"/>
        <w:numPr>
          <w:ilvl w:val="0"/>
          <w:numId w:val="20"/>
        </w:numPr>
        <w:spacing w:line="240" w:lineRule="auto"/>
      </w:pPr>
      <w:r>
        <w:t xml:space="preserve">Signs and symptoms may vary according to the extent of lung collapse, degree of intrapleural pressure, and rapidity of onset. </w:t>
      </w:r>
    </w:p>
    <w:p w14:paraId="50979D64" w14:textId="77777777" w:rsidR="004869A5" w:rsidRDefault="004869A5" w:rsidP="004869A5">
      <w:pPr>
        <w:pStyle w:val="ListParagraph"/>
        <w:numPr>
          <w:ilvl w:val="0"/>
          <w:numId w:val="20"/>
        </w:numPr>
        <w:spacing w:line="240" w:lineRule="auto"/>
      </w:pPr>
      <w:r>
        <w:t xml:space="preserve">On examination: chest bulging on the affected side if one side is involved, shift of cardiac impulse away from the site of the pneumothorax, decreased breath sounds on the affected side, grunting, severe respiratory distress and cyanosis may occur late in the progression of the complication. </w:t>
      </w:r>
    </w:p>
    <w:p w14:paraId="637DD8A6" w14:textId="77777777" w:rsidR="004869A5" w:rsidRDefault="004869A5" w:rsidP="004869A5">
      <w:pPr>
        <w:pStyle w:val="ListParagraph"/>
        <w:numPr>
          <w:ilvl w:val="0"/>
          <w:numId w:val="20"/>
        </w:numPr>
        <w:spacing w:line="240" w:lineRule="auto"/>
      </w:pPr>
      <w:r>
        <w:t xml:space="preserve">Differential diagnosis include lung cyst, lobar emphysema, bullae, diaphragmatic hernia </w:t>
      </w:r>
    </w:p>
    <w:p w14:paraId="6DED318B" w14:textId="77777777" w:rsidR="004869A5" w:rsidRPr="00ED3B2F" w:rsidRDefault="004869A5" w:rsidP="004869A5">
      <w:pPr>
        <w:pStyle w:val="ListParagraph"/>
        <w:numPr>
          <w:ilvl w:val="0"/>
          <w:numId w:val="20"/>
        </w:numPr>
        <w:spacing w:line="240" w:lineRule="auto"/>
        <w:rPr>
          <w:b/>
        </w:rPr>
      </w:pPr>
      <w:r>
        <w:t>Chest X-ray is crucial in the confirmation of diagnosis.</w:t>
      </w:r>
    </w:p>
    <w:p w14:paraId="3F928826" w14:textId="77777777" w:rsidR="004869A5" w:rsidRPr="00ED3B2F" w:rsidRDefault="004869A5" w:rsidP="004869A5">
      <w:pPr>
        <w:spacing w:line="240" w:lineRule="auto"/>
        <w:ind w:firstLine="0"/>
      </w:pPr>
      <w:r w:rsidRPr="00ED3B2F">
        <w:t>Treatment – need for compression, chest drainage</w:t>
      </w:r>
    </w:p>
    <w:p w14:paraId="737DEDF2" w14:textId="77777777" w:rsidR="004869A5" w:rsidRPr="00ED3B2F" w:rsidRDefault="004869A5" w:rsidP="004869A5">
      <w:pPr>
        <w:spacing w:line="240" w:lineRule="auto"/>
        <w:ind w:firstLine="0"/>
        <w:rPr>
          <w:b/>
        </w:rPr>
      </w:pPr>
    </w:p>
    <w:p w14:paraId="411E5C71" w14:textId="77777777" w:rsidR="004869A5" w:rsidRPr="00ED3B2F" w:rsidRDefault="004869A5" w:rsidP="004869A5">
      <w:pPr>
        <w:spacing w:line="240" w:lineRule="auto"/>
        <w:ind w:firstLine="0"/>
        <w:rPr>
          <w:b/>
        </w:rPr>
      </w:pPr>
      <w:r w:rsidRPr="00ED3B2F">
        <w:rPr>
          <w:b/>
        </w:rPr>
        <w:t>Bronchiolitis diagnosis:</w:t>
      </w:r>
    </w:p>
    <w:p w14:paraId="44CD3AE2" w14:textId="77777777" w:rsidR="004869A5" w:rsidRDefault="004869A5" w:rsidP="004869A5">
      <w:pPr>
        <w:spacing w:line="240" w:lineRule="auto"/>
        <w:ind w:firstLine="0"/>
      </w:pPr>
      <w:r>
        <w:t>– First episode of wheeze in a child aged &lt; 2 years – Wheeze episode at time of seasonal bronchiolitis – Hyperinflation of the chest – Prolonged expiration – Reduced air entry (if very severe, airway obstruction) – Poor or no response to bronchodilators – Apnoea in young infants, especially if born preterm</w:t>
      </w:r>
    </w:p>
    <w:p w14:paraId="1058D628" w14:textId="77777777" w:rsidR="004869A5" w:rsidRDefault="004869A5" w:rsidP="004869A5">
      <w:pPr>
        <w:spacing w:line="240" w:lineRule="auto"/>
        <w:ind w:firstLine="0"/>
      </w:pPr>
    </w:p>
    <w:p w14:paraId="2BC47591" w14:textId="77777777" w:rsidR="00E13031" w:rsidRDefault="004869A5" w:rsidP="003A30F9">
      <w:pPr>
        <w:spacing w:line="240" w:lineRule="auto"/>
        <w:ind w:firstLine="0"/>
      </w:pPr>
      <w:r>
        <w:t>Typical features of bronchiol</w:t>
      </w:r>
      <w:r w:rsidR="00E13031">
        <w:t xml:space="preserve">itis, on examination, include: </w:t>
      </w:r>
    </w:p>
    <w:p w14:paraId="4D0C8055" w14:textId="77777777" w:rsidR="00E13031" w:rsidRDefault="004869A5" w:rsidP="00E13031">
      <w:pPr>
        <w:pStyle w:val="ListParagraph"/>
        <w:numPr>
          <w:ilvl w:val="0"/>
          <w:numId w:val="28"/>
        </w:numPr>
        <w:spacing w:line="240" w:lineRule="auto"/>
      </w:pPr>
      <w:r>
        <w:t>wheezing that is not relieved by up to three doses of</w:t>
      </w:r>
      <w:r w:rsidR="00E13031">
        <w:t xml:space="preserve"> a rapid-acting bronchodilator </w:t>
      </w:r>
    </w:p>
    <w:p w14:paraId="730F89EF" w14:textId="197B60BB" w:rsidR="00E13031" w:rsidRDefault="00E13031" w:rsidP="00E13031">
      <w:pPr>
        <w:pStyle w:val="ListParagraph"/>
        <w:numPr>
          <w:ilvl w:val="0"/>
          <w:numId w:val="28"/>
        </w:numPr>
        <w:spacing w:line="240" w:lineRule="auto"/>
      </w:pPr>
      <w:r>
        <w:t>hyperinfl</w:t>
      </w:r>
      <w:r w:rsidR="004869A5">
        <w:t>ation of the chest, with inc</w:t>
      </w:r>
      <w:r>
        <w:t>reased resonance to percussion</w:t>
      </w:r>
    </w:p>
    <w:p w14:paraId="703D2581" w14:textId="77777777" w:rsidR="00E13031" w:rsidRDefault="004869A5" w:rsidP="00E13031">
      <w:pPr>
        <w:pStyle w:val="ListParagraph"/>
        <w:numPr>
          <w:ilvl w:val="0"/>
          <w:numId w:val="28"/>
        </w:numPr>
        <w:spacing w:line="240" w:lineRule="auto"/>
      </w:pPr>
      <w:r>
        <w:t xml:space="preserve">lower chest wall indrawing </w:t>
      </w:r>
    </w:p>
    <w:p w14:paraId="4AC684DF" w14:textId="5A9A47D3" w:rsidR="00E13031" w:rsidRDefault="00E13031" w:rsidP="00E13031">
      <w:pPr>
        <w:pStyle w:val="ListParagraph"/>
        <w:numPr>
          <w:ilvl w:val="0"/>
          <w:numId w:val="28"/>
        </w:numPr>
        <w:spacing w:line="240" w:lineRule="auto"/>
      </w:pPr>
      <w:r>
        <w:t>fi</w:t>
      </w:r>
      <w:r w:rsidR="004869A5">
        <w:t xml:space="preserve">ne crackles and wheeze on auscultation of the chest </w:t>
      </w:r>
    </w:p>
    <w:p w14:paraId="7A75A594" w14:textId="4A24D54B" w:rsidR="00E13031" w:rsidRDefault="00E13031" w:rsidP="00E13031">
      <w:pPr>
        <w:pStyle w:val="ListParagraph"/>
        <w:numPr>
          <w:ilvl w:val="0"/>
          <w:numId w:val="28"/>
        </w:numPr>
        <w:spacing w:line="240" w:lineRule="auto"/>
      </w:pPr>
      <w:r>
        <w:t>diffi</w:t>
      </w:r>
      <w:r w:rsidR="004869A5">
        <w:t>culty in feeding, breastfeeding or drinking</w:t>
      </w:r>
      <w:r>
        <w:t xml:space="preserve"> owing to respiratory distress </w:t>
      </w:r>
    </w:p>
    <w:p w14:paraId="7250E781" w14:textId="2E4A7BA1" w:rsidR="004869A5" w:rsidRDefault="004869A5" w:rsidP="00E13031">
      <w:pPr>
        <w:pStyle w:val="ListParagraph"/>
        <w:numPr>
          <w:ilvl w:val="0"/>
          <w:numId w:val="28"/>
        </w:numPr>
        <w:spacing w:line="240" w:lineRule="auto"/>
      </w:pPr>
      <w:r>
        <w:t xml:space="preserve">nasal discharge, which can </w:t>
      </w:r>
      <w:r w:rsidR="003A30F9">
        <w:t>cause severe nasal obstruction.</w:t>
      </w:r>
    </w:p>
    <w:p w14:paraId="1651AB60" w14:textId="7F28DB79" w:rsidR="004869A5" w:rsidRDefault="004869A5">
      <w:pPr>
        <w:spacing w:after="160" w:line="259" w:lineRule="auto"/>
        <w:ind w:firstLine="0"/>
        <w:contextualSpacing w:val="0"/>
        <w:jc w:val="left"/>
      </w:pPr>
    </w:p>
    <w:p w14:paraId="4EA36087" w14:textId="77777777" w:rsidR="000F7AEA" w:rsidRDefault="005F1BF3">
      <w:pPr>
        <w:spacing w:after="160" w:line="259" w:lineRule="auto"/>
        <w:ind w:firstLine="0"/>
        <w:contextualSpacing w:val="0"/>
        <w:jc w:val="left"/>
      </w:pPr>
      <w:r>
        <w:rPr>
          <w:noProof/>
          <w:lang w:eastAsia="en-GB"/>
        </w:rPr>
        <w:drawing>
          <wp:inline distT="0" distB="0" distL="0" distR="0" wp14:anchorId="2938B6E3" wp14:editId="3751F4E8">
            <wp:extent cx="6151880" cy="4895850"/>
            <wp:effectExtent l="0" t="0" r="1270" b="0"/>
            <wp:docPr id="12" name="Picture 12" descr="https://ars.els-cdn.com/content/image/1-s2.0-S0140673615607334-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140673615607334-gr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880" cy="4895850"/>
                    </a:xfrm>
                    <a:prstGeom prst="rect">
                      <a:avLst/>
                    </a:prstGeom>
                    <a:noFill/>
                    <a:ln>
                      <a:noFill/>
                    </a:ln>
                  </pic:spPr>
                </pic:pic>
              </a:graphicData>
            </a:graphic>
          </wp:inline>
        </w:drawing>
      </w:r>
    </w:p>
    <w:p w14:paraId="5D78C085" w14:textId="125DEA66" w:rsidR="003B28C7" w:rsidRDefault="000F7AEA">
      <w:pPr>
        <w:spacing w:after="160" w:line="259" w:lineRule="auto"/>
        <w:ind w:firstLine="0"/>
        <w:contextualSpacing w:val="0"/>
        <w:jc w:val="left"/>
      </w:pPr>
      <w:r>
        <w:t>Necrosis and cavitation are rare complications with a pure pneumococcal aetiology</w:t>
      </w:r>
      <w:r w:rsidR="003B28C7">
        <w:br w:type="page"/>
      </w:r>
    </w:p>
    <w:p w14:paraId="1D5CB6A7" w14:textId="4A255445" w:rsidR="003B28C7" w:rsidRDefault="00E07BAB" w:rsidP="003B28C7">
      <w:pPr>
        <w:pStyle w:val="Heading2"/>
      </w:pPr>
      <w:bookmarkStart w:id="19" w:name="_Toc64288815"/>
      <w:r>
        <w:lastRenderedPageBreak/>
        <w:t>Example m</w:t>
      </w:r>
      <w:r w:rsidR="003B28C7">
        <w:t>odel outputs</w:t>
      </w:r>
      <w:bookmarkEnd w:id="19"/>
    </w:p>
    <w:p w14:paraId="151EB6C8" w14:textId="2B361343" w:rsidR="00725C35" w:rsidRPr="00725C35" w:rsidRDefault="00725C35" w:rsidP="00725C35">
      <w:pPr>
        <w:pStyle w:val="Heading3"/>
      </w:pPr>
      <w:bookmarkStart w:id="20" w:name="_Toc64288816"/>
      <w:r>
        <w:t>Health worker’s performance vs IMCI ‘gold-standard’ vs underlying ‘true’ ALRI disease</w:t>
      </w:r>
      <w:bookmarkEnd w:id="20"/>
    </w:p>
    <w:p w14:paraId="0904ED2F" w14:textId="5594E9F9" w:rsidR="003B28C7" w:rsidRDefault="003B28C7" w:rsidP="00D83509">
      <w:r>
        <w:t>In a simulation run from 01/01/2010 to 01/02/2015, population size N=50,000</w:t>
      </w:r>
      <w:r w:rsidR="00D83509">
        <w:t xml:space="preserve">, displayed in Figure 6 is the average number of cases per year (y-axis) with the proportions of different diagnosis by the health workers represented by the bars, for each IMCI ‘gold-standard’ classification (x-axis). </w:t>
      </w:r>
    </w:p>
    <w:p w14:paraId="35CB9B72" w14:textId="6EA30436" w:rsidR="003B28C7" w:rsidRDefault="003B28C7" w:rsidP="003B28C7">
      <w:pPr>
        <w:pStyle w:val="Caption"/>
        <w:keepNext/>
      </w:pPr>
      <w:r>
        <w:t xml:space="preserve">Figure </w:t>
      </w:r>
      <w:r w:rsidR="00E018E1">
        <w:fldChar w:fldCharType="begin"/>
      </w:r>
      <w:r w:rsidR="00E018E1">
        <w:instrText xml:space="preserve"> SEQ Figure \* ARABIC </w:instrText>
      </w:r>
      <w:r w:rsidR="00E018E1">
        <w:fldChar w:fldCharType="separate"/>
      </w:r>
      <w:r w:rsidR="00D83509">
        <w:rPr>
          <w:noProof/>
        </w:rPr>
        <w:t>6</w:t>
      </w:r>
      <w:r w:rsidR="00E018E1">
        <w:rPr>
          <w:noProof/>
        </w:rPr>
        <w:fldChar w:fldCharType="end"/>
      </w:r>
      <w:r>
        <w:t xml:space="preserve"> - IMCI pneumonia classifications by health wo</w:t>
      </w:r>
      <w:r w:rsidR="00D83509">
        <w:t>r</w:t>
      </w:r>
      <w:r>
        <w:t>kers (at facility level 1)</w:t>
      </w:r>
    </w:p>
    <w:p w14:paraId="4C8F9330" w14:textId="00AA8B2A" w:rsidR="00D83509" w:rsidRPr="00D83509" w:rsidRDefault="003B28C7" w:rsidP="00D83509">
      <w:pPr>
        <w:ind w:firstLine="0"/>
        <w:rPr>
          <w:sz w:val="19"/>
          <w:szCs w:val="19"/>
        </w:rPr>
      </w:pPr>
      <w:r>
        <w:rPr>
          <w:noProof/>
          <w:lang w:eastAsia="en-GB"/>
        </w:rPr>
        <w:drawing>
          <wp:inline distT="0" distB="0" distL="0" distR="0" wp14:anchorId="084CCB94" wp14:editId="4F2E58BA">
            <wp:extent cx="5948092" cy="37562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4268" cy="3760146"/>
                    </a:xfrm>
                    <a:prstGeom prst="rect">
                      <a:avLst/>
                    </a:prstGeom>
                    <a:noFill/>
                  </pic:spPr>
                </pic:pic>
              </a:graphicData>
            </a:graphic>
          </wp:inline>
        </w:drawing>
      </w:r>
    </w:p>
    <w:p w14:paraId="7A9EA198" w14:textId="69041598" w:rsidR="00D83509" w:rsidRDefault="00D83509" w:rsidP="00D83509">
      <w:r>
        <w:t>The IMCI classifications in the y-axis, are computed using the signs and symptoms outputted from the natural history model. Based on the sensitivities of correct and incorrect IMCI-classifications (Figure 7), the health workers’ performance is tabulated across the IMCI ‘gold-standard’.</w:t>
      </w:r>
    </w:p>
    <w:p w14:paraId="41C47CA3" w14:textId="44FD4369" w:rsidR="00D83509" w:rsidRDefault="00D83509" w:rsidP="00D83509">
      <w:pPr>
        <w:pStyle w:val="Caption"/>
        <w:keepNext/>
      </w:pPr>
      <w:r>
        <w:t xml:space="preserve">Figure </w:t>
      </w:r>
      <w:r w:rsidR="00E018E1">
        <w:fldChar w:fldCharType="begin"/>
      </w:r>
      <w:r w:rsidR="00E018E1">
        <w:instrText xml:space="preserve"> SEQ Figure \* ARABIC </w:instrText>
      </w:r>
      <w:r w:rsidR="00E018E1">
        <w:fldChar w:fldCharType="separate"/>
      </w:r>
      <w:r>
        <w:rPr>
          <w:noProof/>
        </w:rPr>
        <w:t>7</w:t>
      </w:r>
      <w:r w:rsidR="00E018E1">
        <w:rPr>
          <w:noProof/>
        </w:rPr>
        <w:fldChar w:fldCharType="end"/>
      </w:r>
      <w:r>
        <w:t xml:space="preserve"> - Sensitivities of correct IMCI classifications inputted in the model</w:t>
      </w:r>
    </w:p>
    <w:p w14:paraId="0D1AED71" w14:textId="13AC7F6D" w:rsidR="003B28C7" w:rsidRDefault="003B28C7" w:rsidP="003B28C7">
      <w:pPr>
        <w:ind w:firstLine="0"/>
      </w:pPr>
      <w:r>
        <w:rPr>
          <w:noProof/>
          <w:lang w:eastAsia="en-GB"/>
        </w:rPr>
        <w:drawing>
          <wp:inline distT="0" distB="0" distL="0" distR="0" wp14:anchorId="02766394" wp14:editId="291B9B80">
            <wp:extent cx="4696932" cy="250875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7287" cy="2514283"/>
                    </a:xfrm>
                    <a:prstGeom prst="rect">
                      <a:avLst/>
                    </a:prstGeom>
                    <a:noFill/>
                  </pic:spPr>
                </pic:pic>
              </a:graphicData>
            </a:graphic>
          </wp:inline>
        </w:drawing>
      </w:r>
    </w:p>
    <w:p w14:paraId="5BA147A5" w14:textId="554676FB" w:rsidR="00E07BAB" w:rsidRDefault="00E07BAB" w:rsidP="003B28C7">
      <w:pPr>
        <w:ind w:firstLine="0"/>
      </w:pPr>
    </w:p>
    <w:p w14:paraId="0B4F668F" w14:textId="4D6166A0" w:rsidR="00E07BAB" w:rsidRDefault="00E07BAB" w:rsidP="00E07BAB">
      <w:r>
        <w:t>The following figure (Figure 8) displays the underlying ‘true’ condition (x-axis) and the respective IMCI classifications that the clinical signs and symptoms fall under, represented by the bars.</w:t>
      </w:r>
    </w:p>
    <w:p w14:paraId="598FB426" w14:textId="7C20C7E9" w:rsidR="00D83509" w:rsidRDefault="00D83509" w:rsidP="00D83509">
      <w:pPr>
        <w:pStyle w:val="Caption"/>
        <w:keepNext/>
      </w:pPr>
      <w:r>
        <w:lastRenderedPageBreak/>
        <w:t xml:space="preserve">Figure </w:t>
      </w:r>
      <w:r w:rsidR="00E018E1">
        <w:fldChar w:fldCharType="begin"/>
      </w:r>
      <w:r w:rsidR="00E018E1">
        <w:instrText xml:space="preserve"> SEQ Figure \* ARABIC </w:instrText>
      </w:r>
      <w:r w:rsidR="00E018E1">
        <w:fldChar w:fldCharType="separate"/>
      </w:r>
      <w:r>
        <w:rPr>
          <w:noProof/>
        </w:rPr>
        <w:t>8</w:t>
      </w:r>
      <w:r w:rsidR="00E018E1">
        <w:rPr>
          <w:noProof/>
        </w:rPr>
        <w:fldChar w:fldCharType="end"/>
      </w:r>
      <w:r>
        <w:t xml:space="preserve"> - IMCI classifications for underlying ALRI condition</w:t>
      </w:r>
    </w:p>
    <w:p w14:paraId="7F00B036" w14:textId="0F709F65" w:rsidR="00D83509" w:rsidRPr="003B28C7" w:rsidRDefault="00D83509" w:rsidP="003B28C7">
      <w:pPr>
        <w:ind w:firstLine="0"/>
      </w:pPr>
      <w:r>
        <w:rPr>
          <w:noProof/>
          <w:lang w:eastAsia="en-GB"/>
        </w:rPr>
        <w:drawing>
          <wp:inline distT="0" distB="0" distL="0" distR="0" wp14:anchorId="16DB9E33" wp14:editId="78F17F66">
            <wp:extent cx="5256000" cy="3689766"/>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6000" cy="3689766"/>
                    </a:xfrm>
                    <a:prstGeom prst="rect">
                      <a:avLst/>
                    </a:prstGeom>
                    <a:noFill/>
                  </pic:spPr>
                </pic:pic>
              </a:graphicData>
            </a:graphic>
          </wp:inline>
        </w:drawing>
      </w:r>
    </w:p>
    <w:p w14:paraId="73CCE381" w14:textId="625DD5A3" w:rsidR="00D83509" w:rsidRDefault="00E07BAB" w:rsidP="00E07BAB">
      <w:r>
        <w:t>The following figure (Figure 9) displays the underlying ‘true’ condition (x-axis) and the respective health workers’ classifications given based on the sensitivity of correct/ incorrect classifications.</w:t>
      </w:r>
    </w:p>
    <w:p w14:paraId="63CB247B" w14:textId="4BC15983" w:rsidR="00D83509" w:rsidRDefault="00D83509" w:rsidP="00D83509">
      <w:pPr>
        <w:pStyle w:val="Caption"/>
        <w:keepNext/>
        <w:jc w:val="left"/>
      </w:pPr>
      <w:r>
        <w:t xml:space="preserve">Figure </w:t>
      </w:r>
      <w:r w:rsidR="00E018E1">
        <w:fldChar w:fldCharType="begin"/>
      </w:r>
      <w:r w:rsidR="00E018E1">
        <w:instrText xml:space="preserve"> SEQ Figure \* ARABIC </w:instrText>
      </w:r>
      <w:r w:rsidR="00E018E1">
        <w:fldChar w:fldCharType="separate"/>
      </w:r>
      <w:r>
        <w:rPr>
          <w:noProof/>
        </w:rPr>
        <w:t>9</w:t>
      </w:r>
      <w:r w:rsidR="00E018E1">
        <w:rPr>
          <w:noProof/>
        </w:rPr>
        <w:fldChar w:fldCharType="end"/>
      </w:r>
      <w:r>
        <w:t xml:space="preserve"> - Health worker classifications for underlying ALRI condition</w:t>
      </w:r>
    </w:p>
    <w:p w14:paraId="2C3CDDDF" w14:textId="2DD01B59" w:rsidR="004869A5" w:rsidRPr="004869A5" w:rsidRDefault="00D83509">
      <w:pPr>
        <w:spacing w:after="160" w:line="259" w:lineRule="auto"/>
        <w:ind w:firstLine="0"/>
        <w:contextualSpacing w:val="0"/>
        <w:jc w:val="left"/>
      </w:pPr>
      <w:r>
        <w:rPr>
          <w:noProof/>
          <w:lang w:eastAsia="en-GB"/>
        </w:rPr>
        <w:drawing>
          <wp:inline distT="0" distB="0" distL="0" distR="0" wp14:anchorId="4BD39D19" wp14:editId="36AAD99F">
            <wp:extent cx="5256000" cy="3689765"/>
            <wp:effectExtent l="0" t="0" r="190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6000" cy="3689765"/>
                    </a:xfrm>
                    <a:prstGeom prst="rect">
                      <a:avLst/>
                    </a:prstGeom>
                    <a:noFill/>
                  </pic:spPr>
                </pic:pic>
              </a:graphicData>
            </a:graphic>
          </wp:inline>
        </w:drawing>
      </w:r>
      <w:r w:rsidR="003A2C44">
        <w:br w:type="page"/>
      </w:r>
    </w:p>
    <w:p w14:paraId="34BC2056" w14:textId="77EABF36" w:rsidR="00AF2977" w:rsidRDefault="00AF2977" w:rsidP="00AF2977">
      <w:pPr>
        <w:pStyle w:val="Heading1"/>
      </w:pPr>
      <w:bookmarkStart w:id="21" w:name="_Toc64288817"/>
      <w:r>
        <w:lastRenderedPageBreak/>
        <w:t>Policy questions for ALRI model</w:t>
      </w:r>
      <w:bookmarkEnd w:id="21"/>
    </w:p>
    <w:p w14:paraId="303152D1" w14:textId="77777777" w:rsidR="00AF2977" w:rsidRPr="00F6122A" w:rsidRDefault="00AF2977" w:rsidP="00AF2977">
      <w:pPr>
        <w:pStyle w:val="Heading2"/>
      </w:pPr>
      <w:bookmarkStart w:id="22" w:name="_Toc64288818"/>
      <w:r>
        <w:t>How are policy questions formulated? – Baseline analysis</w:t>
      </w:r>
      <w:bookmarkEnd w:id="22"/>
    </w:p>
    <w:p w14:paraId="6F42F204" w14:textId="77777777" w:rsidR="00AF2977" w:rsidRDefault="00AF2977" w:rsidP="00AF2977">
      <w:r>
        <w:t>Using disease and intervention models built in Python, we can simulate the epidemiology of acute lower respiratory infections in children, namely pneumonia and bronchiolitis. From this simulation, we can analyse different scenarios of improved quality of care at the health system level on health outcomes; as well as scenarios with new or improved implementation of effective interventions.</w:t>
      </w:r>
    </w:p>
    <w:p w14:paraId="764B7857" w14:textId="77777777" w:rsidR="00AF2977" w:rsidRDefault="00AF2977" w:rsidP="00AF2977">
      <w:r>
        <w:t>From the natural history of the disease (ALRI) – signs and symptoms are generated with a certain probability informed by published studies. Then, using these signs and symptoms, we compute those that would match the IMCI classification of (non-severe) pneumonia and severe pneumonia. Therefore, this can be the initial simple analysis of the ALRI natural history model: IMCI classification of pneumonia based on the algorithm with the use of symptoms arising from the natural history, and see what proportions are missed classifications. Similarly, we can analyse cases with severe complications (sepsis, meningitis, respiratory failure) that fall into IMCI-severe pneumonia classification, and missed cases by using the algorithm.</w:t>
      </w:r>
    </w:p>
    <w:p w14:paraId="4854893B" w14:textId="77777777" w:rsidR="00AF2977" w:rsidRDefault="00AF2977" w:rsidP="00AF2977">
      <w:r>
        <w:t>Additionally, an analysis of the current health system delivery of care for children presenting with respiratory symptoms, with the DxTest function from the HealthSystem module, we can “set the scene” in terms of the current performance of the IMCI algorithm, and consequent assessment, classification, and treatment of sick children. This is assigned through the sensitivity value of correct classification and probabilities of incorrect classification to other categories.</w:t>
      </w:r>
      <w:r w:rsidRPr="006616DB">
        <w:t xml:space="preserve"> </w:t>
      </w:r>
      <w:r>
        <w:t>Then, following basic analyses, we can perform more complex questions, described next.</w:t>
      </w:r>
    </w:p>
    <w:p w14:paraId="6E217E5D" w14:textId="77777777" w:rsidR="00AF2977" w:rsidRDefault="00AF2977" w:rsidP="00AF2977">
      <w:pPr>
        <w:pStyle w:val="Heading2"/>
      </w:pPr>
      <w:bookmarkStart w:id="23" w:name="_Toc64288819"/>
      <w:r>
        <w:t>Key questions/ outputs from the model</w:t>
      </w:r>
      <w:bookmarkEnd w:id="23"/>
    </w:p>
    <w:p w14:paraId="15F99F23" w14:textId="77777777" w:rsidR="00AF2977" w:rsidRDefault="00AF2977" w:rsidP="00AF2977">
      <w:r>
        <w:t xml:space="preserve">We can add new interventions or improve the quality/implementation of existing ones. For example, we can use the model to quantify the benefits of an implementation of RSV vaccine, with ranging effectiveness and coverage, on the epidemiology of ALRI and child mortality; scale-up of pulse oximetry as a diagnostic tool; scale-up of oxygen therapy including bubble CPAP in hospitals and quantify its effects on mortality. </w:t>
      </w:r>
    </w:p>
    <w:p w14:paraId="245AC42E" w14:textId="77777777" w:rsidR="00AF2977" w:rsidRDefault="00AF2977" w:rsidP="00AF2977">
      <w:pPr>
        <w:ind w:firstLine="0"/>
      </w:pPr>
      <w:r>
        <w:t>Question 1: Implementation of RSV vaccine (multiple effectiveness and coverage values) see the effect on pneumonia incidence and mortality rate.</w:t>
      </w:r>
    </w:p>
    <w:p w14:paraId="4924D09B" w14:textId="2443CDF1" w:rsidR="00AF2977" w:rsidRDefault="00AF2977" w:rsidP="00AF2977">
      <w:pPr>
        <w:ind w:firstLine="0"/>
      </w:pPr>
      <w:r>
        <w:t>Question 2: Adding pulse oximetry in the assessment process of a sick child – see changes in IMCI classification / missed cases by the algorithm</w:t>
      </w:r>
      <w:r w:rsidR="00BB18AA">
        <w:t>, consequent treatment, and outcomes</w:t>
      </w:r>
    </w:p>
    <w:p w14:paraId="2463B77B" w14:textId="77777777" w:rsidR="00AF2977" w:rsidRDefault="00AF2977" w:rsidP="00AF2977">
      <w:pPr>
        <w:ind w:firstLine="0"/>
      </w:pPr>
      <w:r>
        <w:t>Question 3: Scale-up of oxygen therapy in hospitals – effect on mortality</w:t>
      </w:r>
    </w:p>
    <w:p w14:paraId="58460373" w14:textId="77777777" w:rsidR="00BB18AA" w:rsidRDefault="00BB18AA" w:rsidP="00BB18AA">
      <w:pPr>
        <w:ind w:firstLine="0"/>
      </w:pPr>
      <w:r>
        <w:t>Question 4: Improve health workers’ sensitivity on DxTest – see the effect on treatment rate of ALRI and outcome.</w:t>
      </w:r>
    </w:p>
    <w:p w14:paraId="4A19EF8A" w14:textId="718B564A" w:rsidR="00BB18AA" w:rsidRDefault="00BB18AA" w:rsidP="00BB18AA">
      <w:r>
        <w:t xml:space="preserve">Overall, using the model to explore how </w:t>
      </w:r>
      <w:r w:rsidRPr="006616DB">
        <w:t>much diagnosis improve, and how much can mortality be reduced</w:t>
      </w:r>
      <w:r>
        <w:t>.</w:t>
      </w:r>
    </w:p>
    <w:p w14:paraId="4A97F4A8" w14:textId="413284B5" w:rsidR="00AF2977" w:rsidRPr="00652405" w:rsidRDefault="00AF2977" w:rsidP="00F60A7E">
      <w:pPr>
        <w:pStyle w:val="Heading3"/>
      </w:pPr>
      <w:bookmarkStart w:id="24" w:name="_Toc64288820"/>
      <w:r>
        <w:t>Key question 1 – Implementation of RSV vaccine</w:t>
      </w:r>
      <w:bookmarkEnd w:id="24"/>
    </w:p>
    <w:p w14:paraId="4291A8EC" w14:textId="094F53B8" w:rsidR="00AF2977" w:rsidRDefault="00AF2977" w:rsidP="00AF2977">
      <w:pPr>
        <w:pStyle w:val="Caption"/>
        <w:keepNext/>
      </w:pPr>
      <w:r>
        <w:t xml:space="preserve">Table </w:t>
      </w:r>
      <w:r w:rsidR="00E018E1">
        <w:fldChar w:fldCharType="begin"/>
      </w:r>
      <w:r w:rsidR="00E018E1">
        <w:instrText xml:space="preserve"> SEQ Table \* ARABIC </w:instrText>
      </w:r>
      <w:r w:rsidR="00E018E1">
        <w:fldChar w:fldCharType="separate"/>
      </w:r>
      <w:r w:rsidR="000979B2">
        <w:rPr>
          <w:noProof/>
        </w:rPr>
        <w:t>11</w:t>
      </w:r>
      <w:r w:rsidR="00E018E1">
        <w:rPr>
          <w:noProof/>
        </w:rPr>
        <w:fldChar w:fldCharType="end"/>
      </w:r>
      <w:r>
        <w:t xml:space="preserve"> - Properties needed for the analysis of Question 1</w:t>
      </w:r>
    </w:p>
    <w:tbl>
      <w:tblPr>
        <w:tblStyle w:val="TableGrid"/>
        <w:tblW w:w="0" w:type="auto"/>
        <w:tblLayout w:type="fixed"/>
        <w:tblLook w:val="04A0" w:firstRow="1" w:lastRow="0" w:firstColumn="1" w:lastColumn="0" w:noHBand="0" w:noVBand="1"/>
      </w:tblPr>
      <w:tblGrid>
        <w:gridCol w:w="3397"/>
        <w:gridCol w:w="3097"/>
        <w:gridCol w:w="3248"/>
      </w:tblGrid>
      <w:tr w:rsidR="00AF2977" w:rsidRPr="008C48FF" w14:paraId="1C0AA82A" w14:textId="77777777" w:rsidTr="00A87C5C">
        <w:trPr>
          <w:trHeight w:val="255"/>
        </w:trPr>
        <w:tc>
          <w:tcPr>
            <w:tcW w:w="3397" w:type="dxa"/>
            <w:shd w:val="clear" w:color="auto" w:fill="DBDBDB" w:themeFill="accent3" w:themeFillTint="66"/>
          </w:tcPr>
          <w:p w14:paraId="690A420B" w14:textId="77777777" w:rsidR="00AF2977" w:rsidRPr="008C48FF" w:rsidRDefault="00AF2977" w:rsidP="00A87C5C">
            <w:pPr>
              <w:pStyle w:val="NoSpacing"/>
            </w:pPr>
            <w:r>
              <w:t>Properties</w:t>
            </w:r>
          </w:p>
        </w:tc>
        <w:tc>
          <w:tcPr>
            <w:tcW w:w="3097" w:type="dxa"/>
            <w:shd w:val="clear" w:color="auto" w:fill="DBDBDB" w:themeFill="accent3" w:themeFillTint="66"/>
          </w:tcPr>
          <w:p w14:paraId="499497CE" w14:textId="77777777" w:rsidR="00AF2977" w:rsidRPr="008C48FF" w:rsidRDefault="00AF2977" w:rsidP="00A87C5C">
            <w:pPr>
              <w:pStyle w:val="NoSpacing"/>
            </w:pPr>
            <w:r w:rsidRPr="008C48FF">
              <w:t>Type</w:t>
            </w:r>
          </w:p>
        </w:tc>
        <w:tc>
          <w:tcPr>
            <w:tcW w:w="3248" w:type="dxa"/>
            <w:shd w:val="clear" w:color="auto" w:fill="DBDBDB" w:themeFill="accent3" w:themeFillTint="66"/>
          </w:tcPr>
          <w:p w14:paraId="6490A4AF" w14:textId="77777777" w:rsidR="00AF2977" w:rsidRPr="008C48FF" w:rsidRDefault="00AF2977" w:rsidP="00A87C5C">
            <w:pPr>
              <w:pStyle w:val="NoSpacing"/>
            </w:pPr>
            <w:r w:rsidRPr="008C48FF">
              <w:t xml:space="preserve">Description </w:t>
            </w:r>
          </w:p>
        </w:tc>
      </w:tr>
      <w:tr w:rsidR="00AF2977" w:rsidRPr="008C48FF" w14:paraId="2E3572AB" w14:textId="77777777" w:rsidTr="00A87C5C">
        <w:trPr>
          <w:trHeight w:val="524"/>
        </w:trPr>
        <w:tc>
          <w:tcPr>
            <w:tcW w:w="3397" w:type="dxa"/>
            <w:shd w:val="clear" w:color="auto" w:fill="F2F2F2" w:themeFill="background1" w:themeFillShade="F2"/>
          </w:tcPr>
          <w:p w14:paraId="5FE21DE3" w14:textId="77777777" w:rsidR="00AF2977" w:rsidRPr="008C48FF" w:rsidRDefault="00AF2977" w:rsidP="00A87C5C">
            <w:pPr>
              <w:pStyle w:val="NoSpacing"/>
            </w:pPr>
            <w:r>
              <w:t>r</w:t>
            </w:r>
            <w:r w:rsidRPr="008C48FF">
              <w:t>i_</w:t>
            </w:r>
            <w:r>
              <w:t>RSV_vaccination</w:t>
            </w:r>
            <w:r w:rsidRPr="008C48FF">
              <w:t>_status</w:t>
            </w:r>
          </w:p>
        </w:tc>
        <w:tc>
          <w:tcPr>
            <w:tcW w:w="3097" w:type="dxa"/>
          </w:tcPr>
          <w:p w14:paraId="00A16403" w14:textId="77777777" w:rsidR="00AF2977" w:rsidRPr="008C48FF" w:rsidRDefault="00AF2977" w:rsidP="00A87C5C">
            <w:pPr>
              <w:pStyle w:val="NoSpacing"/>
            </w:pPr>
            <w:r w:rsidRPr="008C48FF">
              <w:t>Boolean</w:t>
            </w:r>
          </w:p>
        </w:tc>
        <w:tc>
          <w:tcPr>
            <w:tcW w:w="3248" w:type="dxa"/>
          </w:tcPr>
          <w:p w14:paraId="4A8672B3" w14:textId="77777777" w:rsidR="00AF2977" w:rsidRDefault="00AF2977" w:rsidP="00A87C5C">
            <w:pPr>
              <w:pStyle w:val="NoSpacing"/>
            </w:pPr>
            <w:r>
              <w:t>RSV vaccination status</w:t>
            </w:r>
          </w:p>
          <w:p w14:paraId="22EB0BEE" w14:textId="7FDF2CCA" w:rsidR="00AF2977" w:rsidRPr="008C48FF" w:rsidRDefault="00BB18AA" w:rsidP="00A87C5C">
            <w:pPr>
              <w:pStyle w:val="NoSpacing"/>
            </w:pPr>
            <w:r>
              <w:t>Yes/No</w:t>
            </w:r>
          </w:p>
        </w:tc>
      </w:tr>
    </w:tbl>
    <w:p w14:paraId="537CCF5B" w14:textId="0538C5BA" w:rsidR="00AF2977" w:rsidRDefault="00AF2977" w:rsidP="00AF2977">
      <w:pPr>
        <w:pStyle w:val="Caption"/>
        <w:keepNext/>
      </w:pPr>
      <w:r>
        <w:t xml:space="preserve">Table </w:t>
      </w:r>
      <w:r w:rsidR="00E018E1">
        <w:fldChar w:fldCharType="begin"/>
      </w:r>
      <w:r w:rsidR="00E018E1">
        <w:instrText xml:space="preserve"> SEQ Table \* ARABIC </w:instrText>
      </w:r>
      <w:r w:rsidR="00E018E1">
        <w:fldChar w:fldCharType="separate"/>
      </w:r>
      <w:r w:rsidR="000979B2">
        <w:rPr>
          <w:noProof/>
        </w:rPr>
        <w:t>12</w:t>
      </w:r>
      <w:r w:rsidR="00E018E1">
        <w:rPr>
          <w:noProof/>
        </w:rPr>
        <w:fldChar w:fldCharType="end"/>
      </w:r>
      <w:r>
        <w:t xml:space="preserve"> - Parameters needed for the analysis of Question 1</w:t>
      </w:r>
    </w:p>
    <w:tbl>
      <w:tblPr>
        <w:tblStyle w:val="TableGrid"/>
        <w:tblW w:w="0" w:type="auto"/>
        <w:tblLayout w:type="fixed"/>
        <w:tblLook w:val="04A0" w:firstRow="1" w:lastRow="0" w:firstColumn="1" w:lastColumn="0" w:noHBand="0" w:noVBand="1"/>
      </w:tblPr>
      <w:tblGrid>
        <w:gridCol w:w="3397"/>
        <w:gridCol w:w="3097"/>
        <w:gridCol w:w="3248"/>
      </w:tblGrid>
      <w:tr w:rsidR="00AF2977" w:rsidRPr="00652405" w14:paraId="7400C9CC" w14:textId="77777777" w:rsidTr="00A87C5C">
        <w:trPr>
          <w:trHeight w:val="255"/>
        </w:trPr>
        <w:tc>
          <w:tcPr>
            <w:tcW w:w="3397" w:type="dxa"/>
            <w:shd w:val="clear" w:color="auto" w:fill="DBDBDB" w:themeFill="accent3" w:themeFillTint="66"/>
          </w:tcPr>
          <w:p w14:paraId="762BA99A" w14:textId="77777777" w:rsidR="00AF2977" w:rsidRPr="00652405" w:rsidRDefault="00AF2977" w:rsidP="00A87C5C">
            <w:pPr>
              <w:pStyle w:val="NoSpacing"/>
            </w:pPr>
            <w:r>
              <w:t>Parameters</w:t>
            </w:r>
          </w:p>
        </w:tc>
        <w:tc>
          <w:tcPr>
            <w:tcW w:w="3097" w:type="dxa"/>
            <w:shd w:val="clear" w:color="auto" w:fill="DBDBDB" w:themeFill="accent3" w:themeFillTint="66"/>
          </w:tcPr>
          <w:p w14:paraId="04166718" w14:textId="77777777" w:rsidR="00AF2977" w:rsidRPr="00652405" w:rsidRDefault="00AF2977" w:rsidP="00A87C5C">
            <w:pPr>
              <w:pStyle w:val="NoSpacing"/>
            </w:pPr>
            <w:r w:rsidRPr="00652405">
              <w:t>Type</w:t>
            </w:r>
          </w:p>
        </w:tc>
        <w:tc>
          <w:tcPr>
            <w:tcW w:w="3248" w:type="dxa"/>
            <w:shd w:val="clear" w:color="auto" w:fill="DBDBDB" w:themeFill="accent3" w:themeFillTint="66"/>
          </w:tcPr>
          <w:p w14:paraId="6A7DB7CB" w14:textId="77777777" w:rsidR="00AF2977" w:rsidRPr="00652405" w:rsidRDefault="00AF2977" w:rsidP="00A87C5C">
            <w:pPr>
              <w:pStyle w:val="NoSpacing"/>
            </w:pPr>
            <w:r w:rsidRPr="00652405">
              <w:t xml:space="preserve">Description </w:t>
            </w:r>
          </w:p>
        </w:tc>
      </w:tr>
      <w:tr w:rsidR="00AF2977" w:rsidRPr="00652405" w14:paraId="17DEDD92" w14:textId="77777777" w:rsidTr="00A87C5C">
        <w:trPr>
          <w:trHeight w:val="557"/>
        </w:trPr>
        <w:tc>
          <w:tcPr>
            <w:tcW w:w="3397" w:type="dxa"/>
            <w:shd w:val="clear" w:color="auto" w:fill="F2F2F2" w:themeFill="background1" w:themeFillShade="F2"/>
          </w:tcPr>
          <w:p w14:paraId="5D4A9C41" w14:textId="77777777" w:rsidR="00AF2977" w:rsidRPr="00652405" w:rsidRDefault="00AF2977" w:rsidP="00A87C5C">
            <w:pPr>
              <w:pStyle w:val="NoSpacing"/>
            </w:pPr>
            <w:r>
              <w:t>RSV_vaccine_effectiveness</w:t>
            </w:r>
          </w:p>
        </w:tc>
        <w:tc>
          <w:tcPr>
            <w:tcW w:w="3097" w:type="dxa"/>
          </w:tcPr>
          <w:p w14:paraId="12596147" w14:textId="77777777" w:rsidR="00AF2977" w:rsidRDefault="00AF2977" w:rsidP="00A87C5C">
            <w:pPr>
              <w:pStyle w:val="NoSpacing"/>
            </w:pPr>
            <w:r>
              <w:t xml:space="preserve">List </w:t>
            </w:r>
          </w:p>
          <w:p w14:paraId="09F59758" w14:textId="77777777" w:rsidR="00AF2977" w:rsidRPr="00652405" w:rsidRDefault="00AF2977" w:rsidP="00A87C5C">
            <w:pPr>
              <w:pStyle w:val="NoSpacing"/>
            </w:pPr>
            <w:r>
              <w:t>[50%, 75%, 90%, 100%]</w:t>
            </w:r>
          </w:p>
        </w:tc>
        <w:tc>
          <w:tcPr>
            <w:tcW w:w="3248" w:type="dxa"/>
          </w:tcPr>
          <w:p w14:paraId="2DBBC770" w14:textId="77777777" w:rsidR="00AF2977" w:rsidRPr="00652405" w:rsidRDefault="00AF2977" w:rsidP="00A87C5C">
            <w:pPr>
              <w:pStyle w:val="NoSpacing"/>
            </w:pPr>
            <w:r>
              <w:t xml:space="preserve">List of a range of effectiveness values </w:t>
            </w:r>
          </w:p>
        </w:tc>
      </w:tr>
      <w:tr w:rsidR="00AF2977" w:rsidRPr="00652405" w14:paraId="28D953EA" w14:textId="77777777" w:rsidTr="00A87C5C">
        <w:trPr>
          <w:trHeight w:val="557"/>
        </w:trPr>
        <w:tc>
          <w:tcPr>
            <w:tcW w:w="3397" w:type="dxa"/>
            <w:shd w:val="clear" w:color="auto" w:fill="F2F2F2" w:themeFill="background1" w:themeFillShade="F2"/>
          </w:tcPr>
          <w:p w14:paraId="5BE6E143" w14:textId="77777777" w:rsidR="00AF2977" w:rsidRDefault="00AF2977" w:rsidP="00A87C5C">
            <w:pPr>
              <w:pStyle w:val="NoSpacing"/>
            </w:pPr>
            <w:r>
              <w:t>RSV_vaccine_coverage</w:t>
            </w:r>
          </w:p>
        </w:tc>
        <w:tc>
          <w:tcPr>
            <w:tcW w:w="3097" w:type="dxa"/>
          </w:tcPr>
          <w:p w14:paraId="435C9C29" w14:textId="77777777" w:rsidR="00AF2977" w:rsidRDefault="00AF2977" w:rsidP="00A87C5C">
            <w:pPr>
              <w:pStyle w:val="NoSpacing"/>
            </w:pPr>
            <w:r>
              <w:t>List</w:t>
            </w:r>
          </w:p>
          <w:p w14:paraId="52DF9C0C" w14:textId="77777777" w:rsidR="00AF2977" w:rsidRDefault="00AF2977" w:rsidP="00A87C5C">
            <w:pPr>
              <w:pStyle w:val="NoSpacing"/>
            </w:pPr>
            <w:r>
              <w:t>[50%, 75%, 90%, 100%]</w:t>
            </w:r>
          </w:p>
        </w:tc>
        <w:tc>
          <w:tcPr>
            <w:tcW w:w="3248" w:type="dxa"/>
          </w:tcPr>
          <w:p w14:paraId="67725951" w14:textId="77777777" w:rsidR="00AF2977" w:rsidRDefault="00AF2977" w:rsidP="00A87C5C">
            <w:pPr>
              <w:pStyle w:val="NoSpacing"/>
            </w:pPr>
            <w:r>
              <w:t xml:space="preserve">List of a range of coverage values </w:t>
            </w:r>
          </w:p>
        </w:tc>
      </w:tr>
    </w:tbl>
    <w:p w14:paraId="34750988" w14:textId="77777777" w:rsidR="00AF2977" w:rsidRDefault="00AF2977" w:rsidP="00AF2977"/>
    <w:p w14:paraId="08FB71DD" w14:textId="77777777" w:rsidR="00AF2977" w:rsidRDefault="00AF2977" w:rsidP="00AF2977">
      <w:r>
        <w:t>With a RSV vaccination programme, it is expected to see a reduction in the incidence of ALRI, as well as reduction in mortality due to ALRI, dependent on the effectiveness and coverage of vaccination programme.</w:t>
      </w:r>
    </w:p>
    <w:p w14:paraId="314BDB64" w14:textId="77777777" w:rsidR="00AF2977" w:rsidRPr="00C51590" w:rsidRDefault="00AF2977" w:rsidP="00AF2977">
      <w:pPr>
        <w:ind w:firstLine="0"/>
        <w:rPr>
          <w:b/>
        </w:rPr>
      </w:pPr>
      <w:r w:rsidRPr="00C51590">
        <w:rPr>
          <w:b/>
        </w:rPr>
        <w:t>Planned outputs from code:</w:t>
      </w:r>
    </w:p>
    <w:p w14:paraId="462C5655" w14:textId="77777777" w:rsidR="00AF2977" w:rsidRDefault="00AF2977" w:rsidP="00AF2977">
      <w:pPr>
        <w:pStyle w:val="ListParagraph"/>
        <w:numPr>
          <w:ilvl w:val="0"/>
          <w:numId w:val="9"/>
        </w:numPr>
        <w:spacing w:after="0" w:line="259" w:lineRule="auto"/>
      </w:pPr>
      <w:r>
        <w:lastRenderedPageBreak/>
        <w:t>Two scenarios: incidence of each attributable pathogens before and after RSV vaccine – see the changes in the epidemiology of ALRI pathogens.</w:t>
      </w:r>
    </w:p>
    <w:p w14:paraId="2DF8CDE7" w14:textId="77777777" w:rsidR="00AF2977" w:rsidRDefault="00AF2977" w:rsidP="00AF2977">
      <w:pPr>
        <w:pStyle w:val="ListParagraph"/>
        <w:numPr>
          <w:ilvl w:val="0"/>
          <w:numId w:val="9"/>
        </w:numPr>
        <w:spacing w:after="0" w:line="259" w:lineRule="auto"/>
      </w:pPr>
      <w:r>
        <w:t>Graph showing two scenarios: before and after introduction of a RSV vaccine programme on ALRI-specific under-5 mortality / all-cause under-5 mortality</w:t>
      </w:r>
    </w:p>
    <w:p w14:paraId="3CFFD449" w14:textId="77777777" w:rsidR="00AF2977" w:rsidRDefault="00AF2977" w:rsidP="00AF2977">
      <w:pPr>
        <w:ind w:firstLine="0"/>
      </w:pPr>
      <w:r>
        <w:t>OR</w:t>
      </w:r>
    </w:p>
    <w:p w14:paraId="3D7FC54B" w14:textId="77777777" w:rsidR="00AF2977" w:rsidRDefault="00AF2977" w:rsidP="00AF2977">
      <w:pPr>
        <w:pStyle w:val="ListParagraph"/>
        <w:numPr>
          <w:ilvl w:val="0"/>
          <w:numId w:val="9"/>
        </w:numPr>
        <w:spacing w:after="0" w:line="259" w:lineRule="auto"/>
      </w:pPr>
      <w:r>
        <w:t>Graph showing trend in ALRI-specific mortality, with added introduction of RSV vaccine at one time point, and see its effect on the mortality trend</w:t>
      </w:r>
    </w:p>
    <w:p w14:paraId="69C0A0BD" w14:textId="77777777" w:rsidR="00AF2977" w:rsidRPr="002560DB" w:rsidRDefault="00AF2977" w:rsidP="00AF2977">
      <w:pPr>
        <w:ind w:firstLine="0"/>
      </w:pPr>
    </w:p>
    <w:p w14:paraId="1DE37257" w14:textId="77777777" w:rsidR="00AF2977" w:rsidRDefault="00AF2977" w:rsidP="00F60A7E">
      <w:pPr>
        <w:pStyle w:val="Heading3"/>
      </w:pPr>
      <w:bookmarkStart w:id="25" w:name="_Toc64288821"/>
      <w:r>
        <w:t>Key question 2 – Scale-up of pulse oximetry</w:t>
      </w:r>
      <w:bookmarkEnd w:id="25"/>
    </w:p>
    <w:p w14:paraId="39A63ADD" w14:textId="45421962" w:rsidR="00AF2977" w:rsidRDefault="00AF2977" w:rsidP="00AF2977">
      <w:pPr>
        <w:rPr>
          <w:i/>
        </w:rPr>
      </w:pPr>
      <w:r>
        <w:t xml:space="preserve">The goal with analyses regarding the scale-up of pulse oximetry is to help us answer policy-relevant questions such as, </w:t>
      </w:r>
      <w:r w:rsidRPr="00CF3290">
        <w:rPr>
          <w:i/>
        </w:rPr>
        <w:t xml:space="preserve">‘How </w:t>
      </w:r>
      <w:r w:rsidR="00FF2060">
        <w:rPr>
          <w:i/>
        </w:rPr>
        <w:t>can the addition of pulse oximetry improve IMCI classification and consequent treatment and outcomes for children with pneumonia</w:t>
      </w:r>
      <w:r>
        <w:rPr>
          <w:i/>
        </w:rPr>
        <w:t>’</w:t>
      </w:r>
    </w:p>
    <w:p w14:paraId="392D0029" w14:textId="73FC8E07" w:rsidR="00AF2977" w:rsidRDefault="00AF2977" w:rsidP="00AF2977">
      <w:pPr>
        <w:pStyle w:val="Caption"/>
        <w:keepNext/>
      </w:pPr>
      <w:r>
        <w:t xml:space="preserve">Table </w:t>
      </w:r>
      <w:r w:rsidR="00E018E1">
        <w:fldChar w:fldCharType="begin"/>
      </w:r>
      <w:r w:rsidR="00E018E1">
        <w:instrText xml:space="preserve"> SEQ Table \* ARABIC </w:instrText>
      </w:r>
      <w:r w:rsidR="00E018E1">
        <w:fldChar w:fldCharType="separate"/>
      </w:r>
      <w:r w:rsidR="000979B2">
        <w:rPr>
          <w:noProof/>
        </w:rPr>
        <w:t>13</w:t>
      </w:r>
      <w:r w:rsidR="00E018E1">
        <w:rPr>
          <w:noProof/>
        </w:rPr>
        <w:fldChar w:fldCharType="end"/>
      </w:r>
      <w:r>
        <w:t xml:space="preserve"> </w:t>
      </w:r>
      <w:r w:rsidRPr="0089351E">
        <w:t>- Properties neede</w:t>
      </w:r>
      <w:r>
        <w:t>d for the analysis of Question 2</w:t>
      </w:r>
    </w:p>
    <w:tbl>
      <w:tblPr>
        <w:tblStyle w:val="TableGrid"/>
        <w:tblW w:w="0" w:type="auto"/>
        <w:tblLayout w:type="fixed"/>
        <w:tblLook w:val="04A0" w:firstRow="1" w:lastRow="0" w:firstColumn="1" w:lastColumn="0" w:noHBand="0" w:noVBand="1"/>
      </w:tblPr>
      <w:tblGrid>
        <w:gridCol w:w="3397"/>
        <w:gridCol w:w="3097"/>
        <w:gridCol w:w="3248"/>
      </w:tblGrid>
      <w:tr w:rsidR="00AF2977" w:rsidRPr="008C48FF" w14:paraId="4F9C8EBF" w14:textId="77777777" w:rsidTr="00A87C5C">
        <w:trPr>
          <w:trHeight w:val="255"/>
        </w:trPr>
        <w:tc>
          <w:tcPr>
            <w:tcW w:w="3397" w:type="dxa"/>
            <w:shd w:val="clear" w:color="auto" w:fill="DBDBDB" w:themeFill="accent3" w:themeFillTint="66"/>
          </w:tcPr>
          <w:p w14:paraId="0E6BF080" w14:textId="77777777" w:rsidR="00AF2977" w:rsidRPr="008C48FF" w:rsidRDefault="00AF2977" w:rsidP="00A87C5C">
            <w:pPr>
              <w:pStyle w:val="NoSpacing"/>
            </w:pPr>
            <w:r>
              <w:t>Properties</w:t>
            </w:r>
          </w:p>
        </w:tc>
        <w:tc>
          <w:tcPr>
            <w:tcW w:w="3097" w:type="dxa"/>
            <w:shd w:val="clear" w:color="auto" w:fill="DBDBDB" w:themeFill="accent3" w:themeFillTint="66"/>
          </w:tcPr>
          <w:p w14:paraId="5DF61C8A" w14:textId="77777777" w:rsidR="00AF2977" w:rsidRPr="008C48FF" w:rsidRDefault="00AF2977" w:rsidP="00A87C5C">
            <w:pPr>
              <w:pStyle w:val="NoSpacing"/>
            </w:pPr>
            <w:r w:rsidRPr="008C48FF">
              <w:t>Type</w:t>
            </w:r>
          </w:p>
        </w:tc>
        <w:tc>
          <w:tcPr>
            <w:tcW w:w="3248" w:type="dxa"/>
            <w:shd w:val="clear" w:color="auto" w:fill="DBDBDB" w:themeFill="accent3" w:themeFillTint="66"/>
          </w:tcPr>
          <w:p w14:paraId="45B1C342" w14:textId="77777777" w:rsidR="00AF2977" w:rsidRPr="008C48FF" w:rsidRDefault="00AF2977" w:rsidP="00A87C5C">
            <w:pPr>
              <w:pStyle w:val="NoSpacing"/>
            </w:pPr>
            <w:r w:rsidRPr="008C48FF">
              <w:t xml:space="preserve">Description </w:t>
            </w:r>
          </w:p>
        </w:tc>
      </w:tr>
      <w:tr w:rsidR="00AF2977" w:rsidRPr="008C48FF" w14:paraId="5D4E0B12" w14:textId="77777777" w:rsidTr="00A87C5C">
        <w:trPr>
          <w:trHeight w:val="524"/>
        </w:trPr>
        <w:tc>
          <w:tcPr>
            <w:tcW w:w="3397" w:type="dxa"/>
            <w:shd w:val="clear" w:color="auto" w:fill="F2F2F2" w:themeFill="background1" w:themeFillShade="F2"/>
          </w:tcPr>
          <w:p w14:paraId="441D1213" w14:textId="77777777" w:rsidR="00AF2977" w:rsidRPr="008C48FF" w:rsidRDefault="00AF2977" w:rsidP="00A87C5C">
            <w:pPr>
              <w:pStyle w:val="NoSpacing"/>
            </w:pPr>
            <w:r>
              <w:t>ri_peripheral_oxygen_saturation</w:t>
            </w:r>
          </w:p>
        </w:tc>
        <w:tc>
          <w:tcPr>
            <w:tcW w:w="3097" w:type="dxa"/>
          </w:tcPr>
          <w:p w14:paraId="2A4B30D4" w14:textId="77777777" w:rsidR="00AF2977" w:rsidRDefault="00AF2977" w:rsidP="00A87C5C">
            <w:pPr>
              <w:pStyle w:val="NoSpacing"/>
            </w:pPr>
            <w:r>
              <w:t>Categorical</w:t>
            </w:r>
          </w:p>
          <w:p w14:paraId="219D0B43" w14:textId="4523989B" w:rsidR="00AF2977" w:rsidRPr="005B540A" w:rsidRDefault="00AF2977" w:rsidP="00A87C5C">
            <w:pPr>
              <w:pStyle w:val="NoSpacing"/>
            </w:pPr>
            <w:r w:rsidRPr="005B540A">
              <w:t>‘SpO</w:t>
            </w:r>
            <w:r>
              <w:rPr>
                <w:vertAlign w:val="subscript"/>
              </w:rPr>
              <w:t>2</w:t>
            </w:r>
            <w:r w:rsidRPr="005B540A">
              <w:t> &lt; 90%’</w:t>
            </w:r>
            <w:r>
              <w:t xml:space="preserve">, </w:t>
            </w:r>
            <w:r w:rsidRPr="005B540A">
              <w:t>‘SpO</w:t>
            </w:r>
            <w:r>
              <w:rPr>
                <w:vertAlign w:val="subscript"/>
              </w:rPr>
              <w:t>2</w:t>
            </w:r>
            <w:r w:rsidRPr="005B540A">
              <w:t> 90</w:t>
            </w:r>
            <w:r>
              <w:t>-92</w:t>
            </w:r>
            <w:r w:rsidRPr="005B540A">
              <w:t>%’</w:t>
            </w:r>
            <w:r>
              <w:t xml:space="preserve">, </w:t>
            </w:r>
            <w:r w:rsidRPr="005B540A">
              <w:t>‘SpO</w:t>
            </w:r>
            <w:r>
              <w:rPr>
                <w:vertAlign w:val="subscript"/>
              </w:rPr>
              <w:t>2</w:t>
            </w:r>
            <w:r w:rsidRPr="005B540A">
              <w:t> </w:t>
            </w:r>
            <w:r>
              <w:t>&gt;</w:t>
            </w:r>
            <w:r w:rsidRPr="005B540A">
              <w:t xml:space="preserve"> 9</w:t>
            </w:r>
            <w:r>
              <w:t>2</w:t>
            </w:r>
            <w:r w:rsidRPr="005B540A">
              <w:t>%’</w:t>
            </w:r>
            <w:r w:rsidR="00E53FF0">
              <w:t>, ‘missing-pulse oximetry attempted’, ‘missing-no pulse oximetry’</w:t>
            </w:r>
          </w:p>
        </w:tc>
        <w:tc>
          <w:tcPr>
            <w:tcW w:w="3248" w:type="dxa"/>
          </w:tcPr>
          <w:p w14:paraId="20C5BF71" w14:textId="77777777" w:rsidR="00AF2977" w:rsidRPr="008C48FF" w:rsidRDefault="00AF2977" w:rsidP="00A87C5C">
            <w:pPr>
              <w:pStyle w:val="NoSpacing"/>
            </w:pPr>
            <w:r>
              <w:t>Level of peripheral oxygen saturation to be read by a pulse oximetry</w:t>
            </w:r>
          </w:p>
        </w:tc>
      </w:tr>
    </w:tbl>
    <w:p w14:paraId="160B9426" w14:textId="77777777" w:rsidR="00AF2977" w:rsidRPr="008C2C3C" w:rsidRDefault="00AF2977" w:rsidP="00AF2977">
      <w:pPr>
        <w:pStyle w:val="NoSpacing"/>
      </w:pPr>
    </w:p>
    <w:p w14:paraId="553F2AC7" w14:textId="77777777" w:rsidR="00AF2977" w:rsidRPr="00C51590" w:rsidRDefault="00AF2977" w:rsidP="00AF2977">
      <w:pPr>
        <w:ind w:firstLine="0"/>
        <w:rPr>
          <w:b/>
        </w:rPr>
      </w:pPr>
      <w:r w:rsidRPr="00C51590">
        <w:rPr>
          <w:b/>
        </w:rPr>
        <w:t>Planned outputs from code:</w:t>
      </w:r>
    </w:p>
    <w:p w14:paraId="7358FE3D" w14:textId="77777777" w:rsidR="00AF2977" w:rsidRDefault="00AF2977" w:rsidP="00AF2977">
      <w:pPr>
        <w:pStyle w:val="ListParagraph"/>
        <w:numPr>
          <w:ilvl w:val="0"/>
          <w:numId w:val="10"/>
        </w:numPr>
        <w:spacing w:after="0" w:line="259" w:lineRule="auto"/>
      </w:pPr>
      <w:r>
        <w:t xml:space="preserve">Graph showing the IMCI classification rate using pulse oximetry (only) vs. IMCI algorithm (only) – with health workers sensitivity for IMCI classification assumed to be 100%. </w:t>
      </w:r>
    </w:p>
    <w:p w14:paraId="381E6438" w14:textId="77777777" w:rsidR="00AF2977" w:rsidRDefault="00AF2977" w:rsidP="00AF2977">
      <w:pPr>
        <w:pStyle w:val="ListParagraph"/>
        <w:numPr>
          <w:ilvl w:val="0"/>
          <w:numId w:val="10"/>
        </w:numPr>
        <w:spacing w:after="0" w:line="259" w:lineRule="auto"/>
      </w:pPr>
      <w:r>
        <w:t>Graph showing the added advantage of using pulse oximetry in the IMCI algorithm for classification of IMCI pneumonia – improved detection of IMCI-pneumonia, comparison between non-use vs in combination with the algorithm.</w:t>
      </w:r>
    </w:p>
    <w:p w14:paraId="00F78E24" w14:textId="77777777" w:rsidR="00AF2977" w:rsidRPr="008C2C3C" w:rsidRDefault="00AF2977" w:rsidP="00AF2977"/>
    <w:p w14:paraId="3414ADBB" w14:textId="77777777" w:rsidR="00AF2977" w:rsidRDefault="00AF2977" w:rsidP="00F60A7E">
      <w:pPr>
        <w:pStyle w:val="Heading3"/>
      </w:pPr>
      <w:bookmarkStart w:id="26" w:name="_Toc64288822"/>
      <w:r>
        <w:t>Key question 3 – Scale-up of oxygen therapy</w:t>
      </w:r>
      <w:bookmarkEnd w:id="26"/>
    </w:p>
    <w:p w14:paraId="1859B0AF" w14:textId="77777777" w:rsidR="00AF2977" w:rsidRDefault="00AF2977" w:rsidP="00AF2977">
      <w:r>
        <w:t>The goal with analyses regarding the scale-up of oxygen therapy is to quantify the benefit of scaling up this equipment on mortality.</w:t>
      </w:r>
    </w:p>
    <w:p w14:paraId="43DBEF12" w14:textId="77777777" w:rsidR="00AF2977" w:rsidRPr="00C51590" w:rsidRDefault="00AF2977" w:rsidP="00AF2977">
      <w:pPr>
        <w:ind w:firstLine="0"/>
        <w:rPr>
          <w:b/>
        </w:rPr>
      </w:pPr>
      <w:r w:rsidRPr="00C51590">
        <w:rPr>
          <w:b/>
        </w:rPr>
        <w:t>Planned outputs from code:</w:t>
      </w:r>
    </w:p>
    <w:p w14:paraId="676F5E4A" w14:textId="77777777" w:rsidR="00AF2977" w:rsidRDefault="00AF2977" w:rsidP="00AF2977">
      <w:pPr>
        <w:pStyle w:val="ListParagraph"/>
        <w:numPr>
          <w:ilvl w:val="0"/>
          <w:numId w:val="11"/>
        </w:numPr>
        <w:spacing w:after="0" w:line="259" w:lineRule="auto"/>
      </w:pPr>
      <w:r>
        <w:t>Current availability of oxygen therapy vs. scale-up of oxygen therapy and its effect on ALRI-specific under-5 mortality. – Graph of two scenarios</w:t>
      </w:r>
    </w:p>
    <w:p w14:paraId="36812FD3" w14:textId="77777777" w:rsidR="00AF2977" w:rsidRPr="009A0D24" w:rsidRDefault="00AF2977" w:rsidP="00AF2977"/>
    <w:p w14:paraId="15147D8F" w14:textId="77777777" w:rsidR="00AF2977" w:rsidRDefault="00AF2977" w:rsidP="00F60A7E">
      <w:pPr>
        <w:pStyle w:val="Heading3"/>
      </w:pPr>
      <w:bookmarkStart w:id="27" w:name="_Toc64288823"/>
      <w:r>
        <w:t>Key question 4 – Improved health worker sensitivity</w:t>
      </w:r>
      <w:bookmarkEnd w:id="27"/>
      <w:r>
        <w:t xml:space="preserve"> </w:t>
      </w:r>
    </w:p>
    <w:p w14:paraId="4E218A80" w14:textId="65BFDE48" w:rsidR="00AF2977" w:rsidRPr="00516157" w:rsidRDefault="00AF2977" w:rsidP="00AF2977">
      <w:pPr>
        <w:ind w:firstLine="0"/>
        <w:rPr>
          <w:i/>
        </w:rPr>
      </w:pPr>
      <w:r>
        <w:t xml:space="preserve">The goal with analyses regarding the improvement of health workers’ skills is to help us answer policy-relevant questions such as, </w:t>
      </w:r>
      <w:r w:rsidRPr="00CF3290">
        <w:rPr>
          <w:i/>
        </w:rPr>
        <w:t xml:space="preserve">‘How will </w:t>
      </w:r>
      <w:r w:rsidR="00EE2566">
        <w:rPr>
          <w:i/>
        </w:rPr>
        <w:t>improvements in health worker diagnosis of childhood pneumonia using IMCI improve treatment and outcomes for children with pneumonia</w:t>
      </w:r>
      <w:r w:rsidRPr="00CF3290">
        <w:rPr>
          <w:i/>
        </w:rPr>
        <w:t>?</w:t>
      </w:r>
      <w:r>
        <w:rPr>
          <w:i/>
        </w:rPr>
        <w:t>’</w:t>
      </w:r>
    </w:p>
    <w:p w14:paraId="77CB2923" w14:textId="77777777" w:rsidR="00AF2977" w:rsidRPr="00C51590" w:rsidRDefault="00AF2977" w:rsidP="00AF2977">
      <w:pPr>
        <w:ind w:firstLine="0"/>
        <w:rPr>
          <w:b/>
        </w:rPr>
      </w:pPr>
      <w:r w:rsidRPr="00C51590">
        <w:rPr>
          <w:b/>
        </w:rPr>
        <w:t>Planned outputs from code:</w:t>
      </w:r>
    </w:p>
    <w:p w14:paraId="47F61F59" w14:textId="77777777" w:rsidR="00AF2977" w:rsidRDefault="00AF2977" w:rsidP="00AF2977">
      <w:pPr>
        <w:pStyle w:val="ListParagraph"/>
        <w:numPr>
          <w:ilvl w:val="0"/>
          <w:numId w:val="12"/>
        </w:numPr>
        <w:spacing w:after="0" w:line="259" w:lineRule="auto"/>
      </w:pPr>
      <w:r>
        <w:t xml:space="preserve">Improved health worker’s sensitivity in classification of IMCI based on algorithm alone, see its effects on treatment rate and all-cause mortality. </w:t>
      </w:r>
    </w:p>
    <w:p w14:paraId="481D6815" w14:textId="77777777" w:rsidR="00AF2977" w:rsidRDefault="00AF2977" w:rsidP="00AF2977">
      <w:pPr>
        <w:ind w:firstLine="0"/>
      </w:pPr>
    </w:p>
    <w:p w14:paraId="2B2EC3CC" w14:textId="77777777" w:rsidR="00AF2977" w:rsidRDefault="00AF2977" w:rsidP="00AF2977">
      <w:pPr>
        <w:pStyle w:val="Heading2"/>
      </w:pPr>
      <w:bookmarkStart w:id="28" w:name="_Toc64288824"/>
      <w:r>
        <w:t>End goal of proposed analyses</w:t>
      </w:r>
      <w:bookmarkEnd w:id="28"/>
    </w:p>
    <w:p w14:paraId="3C1A3E9A" w14:textId="77777777" w:rsidR="00AF2977" w:rsidRPr="00617256" w:rsidRDefault="00AF2977" w:rsidP="00AF2977">
      <w:pPr>
        <w:ind w:firstLine="0"/>
      </w:pPr>
      <w:r>
        <w:t>Targeted audience for sharing and use of the results include:</w:t>
      </w:r>
    </w:p>
    <w:p w14:paraId="55E07D73" w14:textId="77777777" w:rsidR="00AF2977" w:rsidRDefault="00AF2977" w:rsidP="00AF2977">
      <w:pPr>
        <w:ind w:firstLine="0"/>
      </w:pPr>
      <w:r>
        <w:t>1</w:t>
      </w:r>
      <w:r w:rsidRPr="00B44ED6">
        <w:rPr>
          <w:vertAlign w:val="superscript"/>
        </w:rPr>
        <w:t>st</w:t>
      </w:r>
      <w:r>
        <w:t xml:space="preserve"> – guide Malawi’s Ministry of Health in their investment in child health in the next Health Sector Strategic Plan III (2022-2027).</w:t>
      </w:r>
    </w:p>
    <w:p w14:paraId="20398703" w14:textId="77777777" w:rsidR="00AF2977" w:rsidRPr="00AE033A" w:rsidRDefault="00AF2977" w:rsidP="00AF2977">
      <w:pPr>
        <w:ind w:firstLine="0"/>
      </w:pPr>
      <w:r>
        <w:t>2</w:t>
      </w:r>
      <w:r w:rsidRPr="00B44ED6">
        <w:rPr>
          <w:vertAlign w:val="superscript"/>
        </w:rPr>
        <w:t>nd</w:t>
      </w:r>
      <w:r>
        <w:t xml:space="preserve"> – inform WHO of the benefits and issues with the current guidelines on assessment, classification and treatment of IMCI-pneumonia; what potential improvements are there with the introduction of pulse oximetry in the algorithm. </w:t>
      </w:r>
    </w:p>
    <w:p w14:paraId="42616D16" w14:textId="0A96087D" w:rsidR="0040395A" w:rsidRDefault="00AF2977">
      <w:pPr>
        <w:spacing w:after="160" w:line="259" w:lineRule="auto"/>
        <w:ind w:firstLine="0"/>
        <w:contextualSpacing w:val="0"/>
        <w:jc w:val="left"/>
        <w:rPr>
          <w:rFonts w:eastAsiaTheme="majorEastAsia" w:cstheme="majorBidi"/>
          <w:b/>
          <w:color w:val="2F5496" w:themeColor="accent5" w:themeShade="BF"/>
          <w:sz w:val="28"/>
          <w:szCs w:val="32"/>
        </w:rPr>
      </w:pPr>
      <w:r>
        <w:t>3</w:t>
      </w:r>
      <w:r w:rsidRPr="00B44ED6">
        <w:rPr>
          <w:vertAlign w:val="superscript"/>
        </w:rPr>
        <w:t>rd</w:t>
      </w:r>
      <w:r>
        <w:t xml:space="preserve"> – other researchers to build on this work to further their research</w:t>
      </w:r>
      <w:r w:rsidR="0040395A">
        <w:rPr>
          <w:rFonts w:eastAsiaTheme="majorEastAsia" w:cstheme="majorBidi"/>
          <w:b/>
          <w:color w:val="2F5496" w:themeColor="accent5" w:themeShade="BF"/>
          <w:sz w:val="28"/>
          <w:szCs w:val="32"/>
        </w:rPr>
        <w:br w:type="page"/>
      </w:r>
    </w:p>
    <w:p w14:paraId="2E19ECDE" w14:textId="77777777" w:rsidR="0040395A" w:rsidRDefault="0040395A" w:rsidP="0040395A">
      <w:pPr>
        <w:pStyle w:val="Heading1"/>
      </w:pPr>
      <w:bookmarkStart w:id="29" w:name="_Toc64288825"/>
      <w:r>
        <w:lastRenderedPageBreak/>
        <w:t>ALRI Properties update</w:t>
      </w:r>
      <w:bookmarkEnd w:id="29"/>
    </w:p>
    <w:p w14:paraId="33A0DAB7" w14:textId="77777777" w:rsidR="0040395A" w:rsidRDefault="0040395A" w:rsidP="0040395A">
      <w:r>
        <w:t>At initiation of the simulation, the ALRI property values for the initial population are set such that there are no individuals with ALRI. Property name &amp; initial state at T0:</w:t>
      </w:r>
    </w:p>
    <w:p w14:paraId="3CF35EB2" w14:textId="6813866E" w:rsidR="0040395A" w:rsidRDefault="0040395A" w:rsidP="0040395A">
      <w:pPr>
        <w:pStyle w:val="Caption"/>
        <w:keepNext/>
      </w:pPr>
      <w:r>
        <w:t xml:space="preserve">Table </w:t>
      </w:r>
      <w:r w:rsidR="00E018E1">
        <w:fldChar w:fldCharType="begin"/>
      </w:r>
      <w:r w:rsidR="00E018E1">
        <w:instrText xml:space="preserve"> SEQ Table \* ARABIC </w:instrText>
      </w:r>
      <w:r w:rsidR="00E018E1">
        <w:fldChar w:fldCharType="separate"/>
      </w:r>
      <w:r w:rsidR="000979B2">
        <w:rPr>
          <w:noProof/>
        </w:rPr>
        <w:t>14</w:t>
      </w:r>
      <w:r w:rsidR="00E018E1">
        <w:rPr>
          <w:noProof/>
        </w:rPr>
        <w:fldChar w:fldCharType="end"/>
      </w:r>
      <w:r>
        <w:t xml:space="preserve"> – ALRI Property names and values at initiation</w:t>
      </w:r>
    </w:p>
    <w:tbl>
      <w:tblPr>
        <w:tblW w:w="7026" w:type="dxa"/>
        <w:tblInd w:w="-5" w:type="dxa"/>
        <w:tblLook w:val="04A0" w:firstRow="1" w:lastRow="0" w:firstColumn="1" w:lastColumn="0" w:noHBand="0" w:noVBand="1"/>
      </w:tblPr>
      <w:tblGrid>
        <w:gridCol w:w="3566"/>
        <w:gridCol w:w="3460"/>
      </w:tblGrid>
      <w:tr w:rsidR="0040395A" w:rsidRPr="007743E5" w14:paraId="58917FDB" w14:textId="77777777" w:rsidTr="00931C6E">
        <w:trPr>
          <w:trHeight w:val="310"/>
        </w:trPr>
        <w:tc>
          <w:tcPr>
            <w:tcW w:w="3566"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5F849FB0" w14:textId="77777777" w:rsidR="0040395A" w:rsidRPr="007743E5" w:rsidRDefault="0040395A" w:rsidP="00931C6E">
            <w:pPr>
              <w:spacing w:after="0" w:line="240" w:lineRule="auto"/>
              <w:ind w:firstLine="0"/>
              <w:jc w:val="left"/>
              <w:rPr>
                <w:rFonts w:eastAsia="Times New Roman" w:cs="Arial"/>
                <w:b/>
                <w:bCs/>
                <w:color w:val="FFFFFF" w:themeColor="background1"/>
                <w:lang w:eastAsia="en-GB"/>
              </w:rPr>
            </w:pPr>
            <w:r w:rsidRPr="007743E5">
              <w:rPr>
                <w:rFonts w:eastAsia="Times New Roman" w:cs="Arial"/>
                <w:b/>
                <w:bCs/>
                <w:color w:val="FFFFFF" w:themeColor="background1"/>
                <w:lang w:eastAsia="en-GB"/>
              </w:rPr>
              <w:t>Property name</w:t>
            </w:r>
          </w:p>
        </w:tc>
        <w:tc>
          <w:tcPr>
            <w:tcW w:w="3460"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7DEF18A5" w14:textId="77777777" w:rsidR="0040395A" w:rsidRPr="007743E5" w:rsidRDefault="0040395A" w:rsidP="00931C6E">
            <w:pPr>
              <w:spacing w:after="0" w:line="240" w:lineRule="auto"/>
              <w:ind w:firstLine="0"/>
              <w:jc w:val="left"/>
              <w:rPr>
                <w:rFonts w:eastAsia="Times New Roman" w:cs="Arial"/>
                <w:b/>
                <w:bCs/>
                <w:color w:val="FFFFFF" w:themeColor="background1"/>
                <w:lang w:eastAsia="en-GB"/>
              </w:rPr>
            </w:pPr>
            <w:r w:rsidRPr="007743E5">
              <w:rPr>
                <w:rFonts w:eastAsia="Times New Roman" w:cs="Arial"/>
                <w:b/>
                <w:bCs/>
                <w:color w:val="FFFFFF" w:themeColor="background1"/>
                <w:lang w:eastAsia="en-GB"/>
              </w:rPr>
              <w:t>State at T0</w:t>
            </w:r>
          </w:p>
        </w:tc>
      </w:tr>
      <w:tr w:rsidR="0040395A" w:rsidRPr="007743E5" w14:paraId="3ACA8736" w14:textId="77777777" w:rsidTr="00931C6E">
        <w:trPr>
          <w:trHeight w:val="310"/>
        </w:trPr>
        <w:tc>
          <w:tcPr>
            <w:tcW w:w="3566" w:type="dxa"/>
            <w:tcBorders>
              <w:top w:val="nil"/>
              <w:left w:val="single" w:sz="4" w:space="0" w:color="auto"/>
              <w:bottom w:val="single" w:sz="4" w:space="0" w:color="auto"/>
              <w:right w:val="single" w:sz="4" w:space="0" w:color="auto"/>
            </w:tcBorders>
            <w:shd w:val="clear" w:color="auto" w:fill="auto"/>
            <w:noWrap/>
            <w:vAlign w:val="center"/>
            <w:hideMark/>
          </w:tcPr>
          <w:p w14:paraId="60E2CF98" w14:textId="77777777" w:rsidR="0040395A" w:rsidRPr="00A86E81" w:rsidRDefault="0040395A" w:rsidP="00931C6E">
            <w:pPr>
              <w:pStyle w:val="NoSpacing"/>
              <w:rPr>
                <w:b/>
                <w:szCs w:val="21"/>
                <w:lang w:eastAsia="en-GB"/>
              </w:rPr>
            </w:pPr>
            <w:r w:rsidRPr="00A86E81">
              <w:rPr>
                <w:b/>
                <w:szCs w:val="21"/>
                <w:lang w:eastAsia="en-GB"/>
              </w:rPr>
              <w:t>ri_ALRI_status</w:t>
            </w:r>
          </w:p>
        </w:tc>
        <w:tc>
          <w:tcPr>
            <w:tcW w:w="3460" w:type="dxa"/>
            <w:tcBorders>
              <w:top w:val="nil"/>
              <w:left w:val="nil"/>
              <w:bottom w:val="single" w:sz="4" w:space="0" w:color="auto"/>
              <w:right w:val="single" w:sz="4" w:space="0" w:color="auto"/>
            </w:tcBorders>
            <w:shd w:val="clear" w:color="auto" w:fill="auto"/>
            <w:noWrap/>
            <w:vAlign w:val="center"/>
            <w:hideMark/>
          </w:tcPr>
          <w:p w14:paraId="7842EEA7" w14:textId="77777777" w:rsidR="0040395A" w:rsidRPr="007743E5" w:rsidRDefault="0040395A" w:rsidP="00931C6E">
            <w:pPr>
              <w:pStyle w:val="NoSpacing"/>
              <w:rPr>
                <w:szCs w:val="21"/>
                <w:lang w:eastAsia="en-GB"/>
              </w:rPr>
            </w:pPr>
            <w:r w:rsidRPr="007743E5">
              <w:rPr>
                <w:szCs w:val="21"/>
                <w:lang w:eastAsia="en-GB"/>
              </w:rPr>
              <w:t>False</w:t>
            </w:r>
          </w:p>
        </w:tc>
      </w:tr>
      <w:tr w:rsidR="0040395A" w:rsidRPr="007743E5" w14:paraId="42E689D4" w14:textId="77777777" w:rsidTr="00931C6E">
        <w:trPr>
          <w:trHeight w:val="310"/>
        </w:trPr>
        <w:tc>
          <w:tcPr>
            <w:tcW w:w="3566" w:type="dxa"/>
            <w:tcBorders>
              <w:top w:val="nil"/>
              <w:left w:val="single" w:sz="4" w:space="0" w:color="auto"/>
              <w:bottom w:val="single" w:sz="4" w:space="0" w:color="auto"/>
              <w:right w:val="single" w:sz="4" w:space="0" w:color="auto"/>
            </w:tcBorders>
            <w:shd w:val="clear" w:color="auto" w:fill="auto"/>
            <w:noWrap/>
            <w:vAlign w:val="center"/>
            <w:hideMark/>
          </w:tcPr>
          <w:p w14:paraId="06B1F6EA" w14:textId="77777777" w:rsidR="0040395A" w:rsidRPr="007743E5" w:rsidRDefault="0040395A" w:rsidP="00931C6E">
            <w:pPr>
              <w:spacing w:after="0" w:line="240" w:lineRule="auto"/>
              <w:ind w:firstLine="0"/>
              <w:jc w:val="left"/>
              <w:rPr>
                <w:rFonts w:eastAsia="Times New Roman" w:cs="Arial"/>
                <w:b/>
                <w:color w:val="000000"/>
                <w:sz w:val="21"/>
                <w:szCs w:val="21"/>
                <w:lang w:eastAsia="en-GB"/>
              </w:rPr>
            </w:pPr>
            <w:r w:rsidRPr="007743E5">
              <w:rPr>
                <w:rFonts w:eastAsia="Times New Roman" w:cs="Arial"/>
                <w:b/>
                <w:color w:val="000000"/>
                <w:sz w:val="21"/>
                <w:szCs w:val="21"/>
                <w:lang w:eastAsia="en-GB"/>
              </w:rPr>
              <w:t>ri_primary_ALRI_pathogen</w:t>
            </w:r>
          </w:p>
        </w:tc>
        <w:tc>
          <w:tcPr>
            <w:tcW w:w="3460" w:type="dxa"/>
            <w:tcBorders>
              <w:top w:val="nil"/>
              <w:left w:val="nil"/>
              <w:bottom w:val="single" w:sz="4" w:space="0" w:color="auto"/>
              <w:right w:val="single" w:sz="4" w:space="0" w:color="auto"/>
            </w:tcBorders>
            <w:shd w:val="clear" w:color="auto" w:fill="auto"/>
            <w:noWrap/>
            <w:vAlign w:val="center"/>
            <w:hideMark/>
          </w:tcPr>
          <w:p w14:paraId="745A2FBE" w14:textId="77777777" w:rsidR="0040395A" w:rsidRPr="007743E5" w:rsidRDefault="0040395A" w:rsidP="00931C6E">
            <w:pPr>
              <w:spacing w:after="0" w:line="240" w:lineRule="auto"/>
              <w:ind w:firstLine="0"/>
              <w:jc w:val="left"/>
              <w:rPr>
                <w:rFonts w:eastAsia="Times New Roman" w:cs="Arial"/>
                <w:color w:val="000000"/>
                <w:sz w:val="21"/>
                <w:szCs w:val="21"/>
                <w:lang w:eastAsia="en-GB"/>
              </w:rPr>
            </w:pPr>
            <w:r w:rsidRPr="007743E5">
              <w:rPr>
                <w:rFonts w:eastAsia="Times New Roman" w:cs="Arial"/>
                <w:color w:val="000000"/>
                <w:sz w:val="21"/>
                <w:szCs w:val="21"/>
                <w:lang w:eastAsia="en-GB"/>
              </w:rPr>
              <w:t>not_applicable</w:t>
            </w:r>
          </w:p>
        </w:tc>
      </w:tr>
      <w:tr w:rsidR="0040395A" w:rsidRPr="007743E5" w14:paraId="12C5AC23" w14:textId="77777777" w:rsidTr="00931C6E">
        <w:trPr>
          <w:trHeight w:val="310"/>
        </w:trPr>
        <w:tc>
          <w:tcPr>
            <w:tcW w:w="3566" w:type="dxa"/>
            <w:tcBorders>
              <w:top w:val="nil"/>
              <w:left w:val="single" w:sz="4" w:space="0" w:color="auto"/>
              <w:bottom w:val="single" w:sz="4" w:space="0" w:color="auto"/>
              <w:right w:val="single" w:sz="4" w:space="0" w:color="auto"/>
            </w:tcBorders>
            <w:shd w:val="clear" w:color="auto" w:fill="auto"/>
            <w:noWrap/>
            <w:vAlign w:val="center"/>
            <w:hideMark/>
          </w:tcPr>
          <w:p w14:paraId="214262F5" w14:textId="77777777" w:rsidR="0040395A" w:rsidRPr="007743E5" w:rsidRDefault="0040395A" w:rsidP="00931C6E">
            <w:pPr>
              <w:spacing w:after="0" w:line="240" w:lineRule="auto"/>
              <w:ind w:firstLine="0"/>
              <w:jc w:val="left"/>
              <w:rPr>
                <w:rFonts w:eastAsia="Times New Roman" w:cs="Arial"/>
                <w:b/>
                <w:color w:val="000000"/>
                <w:sz w:val="21"/>
                <w:szCs w:val="21"/>
                <w:lang w:eastAsia="en-GB"/>
              </w:rPr>
            </w:pPr>
            <w:r w:rsidRPr="007743E5">
              <w:rPr>
                <w:rFonts w:eastAsia="Times New Roman" w:cs="Arial"/>
                <w:b/>
                <w:color w:val="000000"/>
                <w:sz w:val="21"/>
                <w:szCs w:val="21"/>
                <w:lang w:eastAsia="en-GB"/>
              </w:rPr>
              <w:t>ri_secondary_bacterial_pathogen</w:t>
            </w:r>
          </w:p>
        </w:tc>
        <w:tc>
          <w:tcPr>
            <w:tcW w:w="3460" w:type="dxa"/>
            <w:tcBorders>
              <w:top w:val="nil"/>
              <w:left w:val="nil"/>
              <w:bottom w:val="single" w:sz="4" w:space="0" w:color="auto"/>
              <w:right w:val="single" w:sz="4" w:space="0" w:color="auto"/>
            </w:tcBorders>
            <w:shd w:val="clear" w:color="auto" w:fill="auto"/>
            <w:noWrap/>
            <w:vAlign w:val="center"/>
            <w:hideMark/>
          </w:tcPr>
          <w:p w14:paraId="0ADB1BC9" w14:textId="77777777" w:rsidR="0040395A" w:rsidRPr="007743E5" w:rsidRDefault="0040395A" w:rsidP="00931C6E">
            <w:pPr>
              <w:spacing w:after="0" w:line="240" w:lineRule="auto"/>
              <w:ind w:firstLine="0"/>
              <w:jc w:val="left"/>
              <w:rPr>
                <w:rFonts w:eastAsia="Times New Roman" w:cs="Arial"/>
                <w:color w:val="000000"/>
                <w:sz w:val="21"/>
                <w:szCs w:val="21"/>
                <w:lang w:eastAsia="en-GB"/>
              </w:rPr>
            </w:pPr>
            <w:r w:rsidRPr="007743E5">
              <w:rPr>
                <w:rFonts w:eastAsia="Times New Roman" w:cs="Arial"/>
                <w:color w:val="000000"/>
                <w:sz w:val="21"/>
                <w:szCs w:val="21"/>
                <w:lang w:eastAsia="en-GB"/>
              </w:rPr>
              <w:t>not_applicable</w:t>
            </w:r>
          </w:p>
        </w:tc>
      </w:tr>
      <w:tr w:rsidR="0040395A" w:rsidRPr="007743E5" w14:paraId="7E3617DF" w14:textId="77777777" w:rsidTr="00931C6E">
        <w:trPr>
          <w:trHeight w:val="310"/>
        </w:trPr>
        <w:tc>
          <w:tcPr>
            <w:tcW w:w="3566" w:type="dxa"/>
            <w:tcBorders>
              <w:top w:val="nil"/>
              <w:left w:val="single" w:sz="4" w:space="0" w:color="auto"/>
              <w:bottom w:val="single" w:sz="4" w:space="0" w:color="auto"/>
              <w:right w:val="single" w:sz="4" w:space="0" w:color="auto"/>
            </w:tcBorders>
            <w:shd w:val="clear" w:color="auto" w:fill="auto"/>
            <w:noWrap/>
            <w:vAlign w:val="center"/>
            <w:hideMark/>
          </w:tcPr>
          <w:p w14:paraId="44698472" w14:textId="77777777" w:rsidR="0040395A" w:rsidRPr="007743E5" w:rsidRDefault="0040395A" w:rsidP="00931C6E">
            <w:pPr>
              <w:spacing w:after="0" w:line="240" w:lineRule="auto"/>
              <w:ind w:firstLine="0"/>
              <w:jc w:val="left"/>
              <w:rPr>
                <w:rFonts w:eastAsia="Times New Roman" w:cs="Arial"/>
                <w:b/>
                <w:color w:val="000000"/>
                <w:sz w:val="21"/>
                <w:szCs w:val="21"/>
                <w:lang w:eastAsia="en-GB"/>
              </w:rPr>
            </w:pPr>
            <w:r w:rsidRPr="007743E5">
              <w:rPr>
                <w:rFonts w:eastAsia="Times New Roman" w:cs="Arial"/>
                <w:b/>
                <w:color w:val="000000"/>
                <w:sz w:val="21"/>
                <w:szCs w:val="21"/>
                <w:lang w:eastAsia="en-GB"/>
              </w:rPr>
              <w:t>ri_ALRI_disease_type</w:t>
            </w:r>
          </w:p>
        </w:tc>
        <w:tc>
          <w:tcPr>
            <w:tcW w:w="3460" w:type="dxa"/>
            <w:tcBorders>
              <w:top w:val="nil"/>
              <w:left w:val="nil"/>
              <w:bottom w:val="single" w:sz="4" w:space="0" w:color="auto"/>
              <w:right w:val="single" w:sz="4" w:space="0" w:color="auto"/>
            </w:tcBorders>
            <w:shd w:val="clear" w:color="auto" w:fill="auto"/>
            <w:noWrap/>
            <w:vAlign w:val="center"/>
            <w:hideMark/>
          </w:tcPr>
          <w:p w14:paraId="1F0AD911" w14:textId="77777777" w:rsidR="0040395A" w:rsidRPr="007743E5" w:rsidRDefault="0040395A" w:rsidP="00931C6E">
            <w:pPr>
              <w:spacing w:after="0" w:line="240" w:lineRule="auto"/>
              <w:ind w:firstLine="0"/>
              <w:jc w:val="left"/>
              <w:rPr>
                <w:rFonts w:eastAsia="Times New Roman" w:cs="Arial"/>
                <w:color w:val="000000"/>
                <w:sz w:val="21"/>
                <w:szCs w:val="21"/>
                <w:lang w:eastAsia="en-GB"/>
              </w:rPr>
            </w:pPr>
            <w:r w:rsidRPr="007743E5">
              <w:rPr>
                <w:rFonts w:eastAsia="Times New Roman" w:cs="Arial"/>
                <w:color w:val="000000"/>
                <w:sz w:val="21"/>
                <w:szCs w:val="21"/>
                <w:lang w:eastAsia="en-GB"/>
              </w:rPr>
              <w:t>not_applicable</w:t>
            </w:r>
          </w:p>
        </w:tc>
      </w:tr>
      <w:tr w:rsidR="0040395A" w:rsidRPr="007743E5" w14:paraId="74D77386" w14:textId="77777777" w:rsidTr="00931C6E">
        <w:trPr>
          <w:trHeight w:val="310"/>
        </w:trPr>
        <w:tc>
          <w:tcPr>
            <w:tcW w:w="3566" w:type="dxa"/>
            <w:tcBorders>
              <w:top w:val="nil"/>
              <w:left w:val="single" w:sz="4" w:space="0" w:color="auto"/>
              <w:bottom w:val="single" w:sz="4" w:space="0" w:color="auto"/>
              <w:right w:val="single" w:sz="4" w:space="0" w:color="auto"/>
            </w:tcBorders>
            <w:shd w:val="clear" w:color="auto" w:fill="auto"/>
            <w:noWrap/>
            <w:vAlign w:val="center"/>
            <w:hideMark/>
          </w:tcPr>
          <w:p w14:paraId="7C3EB6C7" w14:textId="77777777" w:rsidR="0040395A" w:rsidRPr="007743E5" w:rsidRDefault="0040395A" w:rsidP="00931C6E">
            <w:pPr>
              <w:spacing w:after="0" w:line="240" w:lineRule="auto"/>
              <w:ind w:firstLine="0"/>
              <w:jc w:val="left"/>
              <w:rPr>
                <w:rFonts w:eastAsia="Times New Roman" w:cs="Arial"/>
                <w:b/>
                <w:color w:val="000000"/>
                <w:sz w:val="21"/>
                <w:szCs w:val="21"/>
                <w:lang w:eastAsia="en-GB"/>
              </w:rPr>
            </w:pPr>
            <w:r w:rsidRPr="007743E5">
              <w:rPr>
                <w:rFonts w:eastAsia="Times New Roman" w:cs="Arial"/>
                <w:b/>
                <w:color w:val="000000"/>
                <w:sz w:val="21"/>
                <w:szCs w:val="21"/>
                <w:lang w:eastAsia="en-GB"/>
              </w:rPr>
              <w:t>ri_current_ALRI_symptoms</w:t>
            </w:r>
          </w:p>
        </w:tc>
        <w:tc>
          <w:tcPr>
            <w:tcW w:w="3460" w:type="dxa"/>
            <w:tcBorders>
              <w:top w:val="nil"/>
              <w:left w:val="nil"/>
              <w:bottom w:val="single" w:sz="4" w:space="0" w:color="auto"/>
              <w:right w:val="single" w:sz="4" w:space="0" w:color="auto"/>
            </w:tcBorders>
            <w:shd w:val="clear" w:color="auto" w:fill="auto"/>
            <w:noWrap/>
            <w:vAlign w:val="center"/>
            <w:hideMark/>
          </w:tcPr>
          <w:p w14:paraId="0CF6D85F" w14:textId="77777777" w:rsidR="0040395A" w:rsidRPr="007743E5" w:rsidRDefault="0040395A" w:rsidP="00931C6E">
            <w:pPr>
              <w:spacing w:after="0" w:line="240" w:lineRule="auto"/>
              <w:ind w:firstLine="0"/>
              <w:jc w:val="left"/>
              <w:rPr>
                <w:rFonts w:eastAsia="Times New Roman" w:cs="Arial"/>
                <w:color w:val="000000"/>
                <w:sz w:val="21"/>
                <w:szCs w:val="21"/>
                <w:lang w:eastAsia="en-GB"/>
              </w:rPr>
            </w:pPr>
            <w:r w:rsidRPr="007743E5">
              <w:rPr>
                <w:rFonts w:eastAsia="Times New Roman" w:cs="Arial"/>
                <w:color w:val="000000"/>
                <w:sz w:val="21"/>
                <w:szCs w:val="21"/>
                <w:lang w:eastAsia="en-GB"/>
              </w:rPr>
              <w:t>not_applicable</w:t>
            </w:r>
          </w:p>
        </w:tc>
      </w:tr>
      <w:tr w:rsidR="0040395A" w:rsidRPr="007743E5" w14:paraId="750F2AC4" w14:textId="77777777" w:rsidTr="00931C6E">
        <w:trPr>
          <w:trHeight w:val="310"/>
        </w:trPr>
        <w:tc>
          <w:tcPr>
            <w:tcW w:w="3566" w:type="dxa"/>
            <w:tcBorders>
              <w:top w:val="nil"/>
              <w:left w:val="single" w:sz="4" w:space="0" w:color="auto"/>
              <w:bottom w:val="single" w:sz="4" w:space="0" w:color="auto"/>
              <w:right w:val="single" w:sz="4" w:space="0" w:color="auto"/>
            </w:tcBorders>
            <w:shd w:val="clear" w:color="auto" w:fill="auto"/>
            <w:noWrap/>
            <w:vAlign w:val="center"/>
            <w:hideMark/>
          </w:tcPr>
          <w:p w14:paraId="0877D2AB" w14:textId="77777777" w:rsidR="0040395A" w:rsidRPr="007743E5" w:rsidRDefault="0040395A" w:rsidP="00931C6E">
            <w:pPr>
              <w:spacing w:after="0" w:line="240" w:lineRule="auto"/>
              <w:ind w:firstLine="0"/>
              <w:jc w:val="left"/>
              <w:rPr>
                <w:rFonts w:eastAsia="Times New Roman" w:cs="Arial"/>
                <w:b/>
                <w:color w:val="000000"/>
                <w:sz w:val="21"/>
                <w:szCs w:val="21"/>
                <w:lang w:eastAsia="en-GB"/>
              </w:rPr>
            </w:pPr>
            <w:r w:rsidRPr="007743E5">
              <w:rPr>
                <w:rFonts w:eastAsia="Times New Roman" w:cs="Arial"/>
                <w:b/>
                <w:color w:val="000000"/>
                <w:sz w:val="21"/>
                <w:szCs w:val="21"/>
                <w:lang w:eastAsia="en-GB"/>
              </w:rPr>
              <w:t>ri_ALRI_complications</w:t>
            </w:r>
          </w:p>
        </w:tc>
        <w:tc>
          <w:tcPr>
            <w:tcW w:w="3460" w:type="dxa"/>
            <w:tcBorders>
              <w:top w:val="nil"/>
              <w:left w:val="nil"/>
              <w:bottom w:val="single" w:sz="4" w:space="0" w:color="auto"/>
              <w:right w:val="single" w:sz="4" w:space="0" w:color="auto"/>
            </w:tcBorders>
            <w:shd w:val="clear" w:color="auto" w:fill="auto"/>
            <w:noWrap/>
            <w:vAlign w:val="center"/>
            <w:hideMark/>
          </w:tcPr>
          <w:p w14:paraId="77D9AEAD" w14:textId="77777777" w:rsidR="0040395A" w:rsidRPr="007743E5" w:rsidRDefault="0040395A" w:rsidP="00931C6E">
            <w:pPr>
              <w:spacing w:after="0" w:line="240" w:lineRule="auto"/>
              <w:ind w:firstLine="0"/>
              <w:jc w:val="left"/>
              <w:rPr>
                <w:rFonts w:eastAsia="Times New Roman" w:cs="Arial"/>
                <w:color w:val="000000"/>
                <w:sz w:val="21"/>
                <w:szCs w:val="21"/>
                <w:lang w:eastAsia="en-GB"/>
              </w:rPr>
            </w:pPr>
            <w:r w:rsidRPr="007743E5">
              <w:rPr>
                <w:rFonts w:eastAsia="Times New Roman" w:cs="Arial"/>
                <w:color w:val="000000"/>
                <w:sz w:val="21"/>
                <w:szCs w:val="21"/>
                <w:lang w:eastAsia="en-GB"/>
              </w:rPr>
              <w:t>not_applicable</w:t>
            </w:r>
          </w:p>
        </w:tc>
      </w:tr>
      <w:tr w:rsidR="0040395A" w:rsidRPr="007743E5" w14:paraId="22D60B65" w14:textId="77777777" w:rsidTr="00931C6E">
        <w:trPr>
          <w:trHeight w:val="310"/>
        </w:trPr>
        <w:tc>
          <w:tcPr>
            <w:tcW w:w="3566" w:type="dxa"/>
            <w:tcBorders>
              <w:top w:val="nil"/>
              <w:left w:val="single" w:sz="4" w:space="0" w:color="auto"/>
              <w:bottom w:val="single" w:sz="4" w:space="0" w:color="auto"/>
              <w:right w:val="single" w:sz="4" w:space="0" w:color="auto"/>
            </w:tcBorders>
            <w:shd w:val="clear" w:color="auto" w:fill="auto"/>
            <w:noWrap/>
            <w:vAlign w:val="center"/>
            <w:hideMark/>
          </w:tcPr>
          <w:p w14:paraId="61E88E39" w14:textId="77777777" w:rsidR="0040395A" w:rsidRPr="007743E5" w:rsidRDefault="0040395A" w:rsidP="00931C6E">
            <w:pPr>
              <w:spacing w:after="0" w:line="240" w:lineRule="auto"/>
              <w:ind w:firstLine="0"/>
              <w:jc w:val="left"/>
              <w:rPr>
                <w:rFonts w:eastAsia="Times New Roman" w:cs="Arial"/>
                <w:b/>
                <w:color w:val="000000"/>
                <w:sz w:val="21"/>
                <w:szCs w:val="21"/>
                <w:lang w:eastAsia="en-GB"/>
              </w:rPr>
            </w:pPr>
            <w:r w:rsidRPr="007743E5">
              <w:rPr>
                <w:rFonts w:eastAsia="Times New Roman" w:cs="Arial"/>
                <w:b/>
                <w:color w:val="000000"/>
                <w:sz w:val="21"/>
                <w:szCs w:val="21"/>
                <w:lang w:eastAsia="en-GB"/>
              </w:rPr>
              <w:t>ri_ALRI_event_date_of_onset</w:t>
            </w:r>
          </w:p>
        </w:tc>
        <w:tc>
          <w:tcPr>
            <w:tcW w:w="3460" w:type="dxa"/>
            <w:tcBorders>
              <w:top w:val="nil"/>
              <w:left w:val="nil"/>
              <w:bottom w:val="single" w:sz="4" w:space="0" w:color="auto"/>
              <w:right w:val="single" w:sz="4" w:space="0" w:color="auto"/>
            </w:tcBorders>
            <w:shd w:val="clear" w:color="auto" w:fill="auto"/>
            <w:noWrap/>
            <w:vAlign w:val="center"/>
            <w:hideMark/>
          </w:tcPr>
          <w:p w14:paraId="31A505A3" w14:textId="77777777" w:rsidR="0040395A" w:rsidRPr="007743E5" w:rsidRDefault="0040395A" w:rsidP="00931C6E">
            <w:pPr>
              <w:spacing w:after="0" w:line="240" w:lineRule="auto"/>
              <w:ind w:firstLine="0"/>
              <w:jc w:val="left"/>
              <w:rPr>
                <w:rFonts w:eastAsia="Times New Roman" w:cs="Arial"/>
                <w:color w:val="000000"/>
                <w:sz w:val="21"/>
                <w:szCs w:val="21"/>
                <w:lang w:eastAsia="en-GB"/>
              </w:rPr>
            </w:pPr>
            <w:r w:rsidRPr="007743E5">
              <w:rPr>
                <w:rFonts w:eastAsia="Times New Roman" w:cs="Arial"/>
                <w:color w:val="000000"/>
                <w:sz w:val="21"/>
                <w:szCs w:val="21"/>
                <w:lang w:eastAsia="en-GB"/>
              </w:rPr>
              <w:t>pd.NaT</w:t>
            </w:r>
          </w:p>
        </w:tc>
      </w:tr>
      <w:tr w:rsidR="0040395A" w:rsidRPr="007743E5" w14:paraId="154FB19C" w14:textId="77777777" w:rsidTr="00931C6E">
        <w:trPr>
          <w:trHeight w:val="310"/>
        </w:trPr>
        <w:tc>
          <w:tcPr>
            <w:tcW w:w="3566" w:type="dxa"/>
            <w:tcBorders>
              <w:top w:val="nil"/>
              <w:left w:val="single" w:sz="4" w:space="0" w:color="auto"/>
              <w:bottom w:val="single" w:sz="4" w:space="0" w:color="auto"/>
              <w:right w:val="single" w:sz="4" w:space="0" w:color="auto"/>
            </w:tcBorders>
            <w:shd w:val="clear" w:color="auto" w:fill="auto"/>
            <w:noWrap/>
            <w:vAlign w:val="center"/>
            <w:hideMark/>
          </w:tcPr>
          <w:p w14:paraId="087FD89E" w14:textId="77777777" w:rsidR="0040395A" w:rsidRPr="007743E5" w:rsidRDefault="0040395A" w:rsidP="00931C6E">
            <w:pPr>
              <w:spacing w:after="0" w:line="240" w:lineRule="auto"/>
              <w:ind w:firstLine="0"/>
              <w:jc w:val="left"/>
              <w:rPr>
                <w:rFonts w:eastAsia="Times New Roman" w:cs="Arial"/>
                <w:b/>
                <w:color w:val="000000"/>
                <w:sz w:val="21"/>
                <w:szCs w:val="21"/>
                <w:lang w:eastAsia="en-GB"/>
              </w:rPr>
            </w:pPr>
            <w:r w:rsidRPr="007743E5">
              <w:rPr>
                <w:rFonts w:eastAsia="Times New Roman" w:cs="Arial"/>
                <w:b/>
                <w:color w:val="000000"/>
                <w:sz w:val="21"/>
                <w:szCs w:val="21"/>
                <w:lang w:eastAsia="en-GB"/>
              </w:rPr>
              <w:t>ri_ALRI_event_recovered_date</w:t>
            </w:r>
          </w:p>
        </w:tc>
        <w:tc>
          <w:tcPr>
            <w:tcW w:w="3460" w:type="dxa"/>
            <w:tcBorders>
              <w:top w:val="nil"/>
              <w:left w:val="nil"/>
              <w:bottom w:val="single" w:sz="4" w:space="0" w:color="auto"/>
              <w:right w:val="single" w:sz="4" w:space="0" w:color="auto"/>
            </w:tcBorders>
            <w:shd w:val="clear" w:color="auto" w:fill="auto"/>
            <w:noWrap/>
            <w:vAlign w:val="center"/>
            <w:hideMark/>
          </w:tcPr>
          <w:p w14:paraId="2BA5DE58" w14:textId="77777777" w:rsidR="0040395A" w:rsidRPr="007743E5" w:rsidRDefault="0040395A" w:rsidP="00931C6E">
            <w:pPr>
              <w:spacing w:after="0" w:line="240" w:lineRule="auto"/>
              <w:ind w:firstLine="0"/>
              <w:jc w:val="left"/>
              <w:rPr>
                <w:rFonts w:eastAsia="Times New Roman" w:cs="Arial"/>
                <w:color w:val="000000"/>
                <w:sz w:val="21"/>
                <w:szCs w:val="21"/>
                <w:lang w:eastAsia="en-GB"/>
              </w:rPr>
            </w:pPr>
            <w:r w:rsidRPr="007743E5">
              <w:rPr>
                <w:rFonts w:eastAsia="Times New Roman" w:cs="Arial"/>
                <w:color w:val="000000"/>
                <w:sz w:val="21"/>
                <w:szCs w:val="21"/>
                <w:lang w:eastAsia="en-GB"/>
              </w:rPr>
              <w:t>pd.NaT</w:t>
            </w:r>
          </w:p>
        </w:tc>
      </w:tr>
      <w:tr w:rsidR="0040395A" w:rsidRPr="007743E5" w14:paraId="6CD9E782" w14:textId="77777777" w:rsidTr="00931C6E">
        <w:trPr>
          <w:trHeight w:val="310"/>
        </w:trPr>
        <w:tc>
          <w:tcPr>
            <w:tcW w:w="3566" w:type="dxa"/>
            <w:tcBorders>
              <w:top w:val="nil"/>
              <w:left w:val="single" w:sz="4" w:space="0" w:color="auto"/>
              <w:bottom w:val="single" w:sz="4" w:space="0" w:color="auto"/>
              <w:right w:val="single" w:sz="4" w:space="0" w:color="auto"/>
            </w:tcBorders>
            <w:shd w:val="clear" w:color="auto" w:fill="auto"/>
            <w:noWrap/>
            <w:vAlign w:val="center"/>
            <w:hideMark/>
          </w:tcPr>
          <w:p w14:paraId="2D5D66C5" w14:textId="77777777" w:rsidR="0040395A" w:rsidRPr="007743E5" w:rsidRDefault="0040395A" w:rsidP="00931C6E">
            <w:pPr>
              <w:spacing w:after="0" w:line="240" w:lineRule="auto"/>
              <w:ind w:firstLine="0"/>
              <w:jc w:val="left"/>
              <w:rPr>
                <w:rFonts w:eastAsia="Times New Roman" w:cs="Arial"/>
                <w:b/>
                <w:color w:val="000000"/>
                <w:sz w:val="21"/>
                <w:szCs w:val="21"/>
                <w:lang w:eastAsia="en-GB"/>
              </w:rPr>
            </w:pPr>
            <w:r w:rsidRPr="007743E5">
              <w:rPr>
                <w:rFonts w:eastAsia="Times New Roman" w:cs="Arial"/>
                <w:b/>
                <w:color w:val="000000"/>
                <w:sz w:val="21"/>
                <w:szCs w:val="21"/>
                <w:lang w:eastAsia="en-GB"/>
              </w:rPr>
              <w:t>ri_ALRI_event_death_date</w:t>
            </w:r>
          </w:p>
        </w:tc>
        <w:tc>
          <w:tcPr>
            <w:tcW w:w="3460" w:type="dxa"/>
            <w:tcBorders>
              <w:top w:val="nil"/>
              <w:left w:val="nil"/>
              <w:bottom w:val="single" w:sz="4" w:space="0" w:color="auto"/>
              <w:right w:val="single" w:sz="4" w:space="0" w:color="auto"/>
            </w:tcBorders>
            <w:shd w:val="clear" w:color="auto" w:fill="auto"/>
            <w:noWrap/>
            <w:vAlign w:val="center"/>
            <w:hideMark/>
          </w:tcPr>
          <w:p w14:paraId="733C56C6" w14:textId="77777777" w:rsidR="0040395A" w:rsidRPr="007743E5" w:rsidRDefault="0040395A" w:rsidP="00931C6E">
            <w:pPr>
              <w:spacing w:after="0" w:line="240" w:lineRule="auto"/>
              <w:ind w:firstLine="0"/>
              <w:jc w:val="left"/>
              <w:rPr>
                <w:rFonts w:eastAsia="Times New Roman" w:cs="Arial"/>
                <w:color w:val="000000"/>
                <w:sz w:val="21"/>
                <w:szCs w:val="21"/>
                <w:lang w:eastAsia="en-GB"/>
              </w:rPr>
            </w:pPr>
            <w:r w:rsidRPr="007743E5">
              <w:rPr>
                <w:rFonts w:eastAsia="Times New Roman" w:cs="Arial"/>
                <w:color w:val="000000"/>
                <w:sz w:val="21"/>
                <w:szCs w:val="21"/>
                <w:lang w:eastAsia="en-GB"/>
              </w:rPr>
              <w:t>pd.NaT</w:t>
            </w:r>
          </w:p>
        </w:tc>
      </w:tr>
      <w:tr w:rsidR="0040395A" w:rsidRPr="007743E5" w14:paraId="53F3471D" w14:textId="77777777" w:rsidTr="00931C6E">
        <w:trPr>
          <w:trHeight w:val="310"/>
        </w:trPr>
        <w:tc>
          <w:tcPr>
            <w:tcW w:w="3566" w:type="dxa"/>
            <w:tcBorders>
              <w:top w:val="nil"/>
              <w:left w:val="single" w:sz="4" w:space="0" w:color="auto"/>
              <w:bottom w:val="single" w:sz="4" w:space="0" w:color="auto"/>
              <w:right w:val="single" w:sz="4" w:space="0" w:color="auto"/>
            </w:tcBorders>
            <w:shd w:val="clear" w:color="auto" w:fill="auto"/>
            <w:noWrap/>
            <w:vAlign w:val="center"/>
            <w:hideMark/>
          </w:tcPr>
          <w:p w14:paraId="7E93508C" w14:textId="77777777" w:rsidR="0040395A" w:rsidRPr="007743E5" w:rsidRDefault="0040395A" w:rsidP="00931C6E">
            <w:pPr>
              <w:spacing w:after="0" w:line="240" w:lineRule="auto"/>
              <w:ind w:firstLine="0"/>
              <w:jc w:val="left"/>
              <w:rPr>
                <w:rFonts w:eastAsia="Times New Roman" w:cs="Arial"/>
                <w:b/>
                <w:color w:val="000000"/>
                <w:sz w:val="21"/>
                <w:szCs w:val="21"/>
                <w:lang w:eastAsia="en-GB"/>
              </w:rPr>
            </w:pPr>
            <w:r w:rsidRPr="007743E5">
              <w:rPr>
                <w:rFonts w:eastAsia="Times New Roman" w:cs="Arial"/>
                <w:b/>
                <w:color w:val="000000"/>
                <w:sz w:val="21"/>
                <w:szCs w:val="21"/>
                <w:lang w:eastAsia="en-GB"/>
              </w:rPr>
              <w:t>ri_end_of_last_alri_episode</w:t>
            </w:r>
          </w:p>
        </w:tc>
        <w:tc>
          <w:tcPr>
            <w:tcW w:w="3460" w:type="dxa"/>
            <w:tcBorders>
              <w:top w:val="nil"/>
              <w:left w:val="nil"/>
              <w:bottom w:val="single" w:sz="4" w:space="0" w:color="auto"/>
              <w:right w:val="single" w:sz="4" w:space="0" w:color="auto"/>
            </w:tcBorders>
            <w:shd w:val="clear" w:color="auto" w:fill="auto"/>
            <w:noWrap/>
            <w:vAlign w:val="center"/>
            <w:hideMark/>
          </w:tcPr>
          <w:p w14:paraId="74860178" w14:textId="77777777" w:rsidR="0040395A" w:rsidRPr="007743E5" w:rsidRDefault="0040395A" w:rsidP="00931C6E">
            <w:pPr>
              <w:spacing w:after="0" w:line="240" w:lineRule="auto"/>
              <w:ind w:firstLine="0"/>
              <w:jc w:val="left"/>
              <w:rPr>
                <w:rFonts w:eastAsia="Times New Roman" w:cs="Arial"/>
                <w:color w:val="000000"/>
                <w:sz w:val="21"/>
                <w:szCs w:val="21"/>
                <w:lang w:eastAsia="en-GB"/>
              </w:rPr>
            </w:pPr>
            <w:r w:rsidRPr="007743E5">
              <w:rPr>
                <w:rFonts w:eastAsia="Times New Roman" w:cs="Arial"/>
                <w:color w:val="000000"/>
                <w:sz w:val="21"/>
                <w:szCs w:val="21"/>
                <w:lang w:eastAsia="en-GB"/>
              </w:rPr>
              <w:t>pd.NaT</w:t>
            </w:r>
          </w:p>
        </w:tc>
      </w:tr>
      <w:tr w:rsidR="0040395A" w:rsidRPr="007743E5" w14:paraId="3B5DD19F" w14:textId="77777777" w:rsidTr="00931C6E">
        <w:trPr>
          <w:trHeight w:val="310"/>
        </w:trPr>
        <w:tc>
          <w:tcPr>
            <w:tcW w:w="3566" w:type="dxa"/>
            <w:tcBorders>
              <w:top w:val="nil"/>
              <w:left w:val="single" w:sz="4" w:space="0" w:color="auto"/>
              <w:bottom w:val="single" w:sz="4" w:space="0" w:color="auto"/>
              <w:right w:val="single" w:sz="4" w:space="0" w:color="auto"/>
            </w:tcBorders>
            <w:shd w:val="clear" w:color="auto" w:fill="auto"/>
            <w:noWrap/>
            <w:vAlign w:val="center"/>
            <w:hideMark/>
          </w:tcPr>
          <w:p w14:paraId="36FBFA61" w14:textId="77777777" w:rsidR="0040395A" w:rsidRPr="007743E5" w:rsidRDefault="0040395A" w:rsidP="00931C6E">
            <w:pPr>
              <w:spacing w:after="0" w:line="240" w:lineRule="auto"/>
              <w:ind w:firstLine="0"/>
              <w:jc w:val="left"/>
              <w:rPr>
                <w:rFonts w:eastAsia="Times New Roman" w:cs="Arial"/>
                <w:b/>
                <w:color w:val="000000"/>
                <w:sz w:val="21"/>
                <w:szCs w:val="21"/>
                <w:lang w:eastAsia="en-GB"/>
              </w:rPr>
            </w:pPr>
            <w:r w:rsidRPr="007743E5">
              <w:rPr>
                <w:rFonts w:eastAsia="Times New Roman" w:cs="Arial"/>
                <w:b/>
                <w:color w:val="000000"/>
                <w:sz w:val="21"/>
                <w:szCs w:val="21"/>
                <w:lang w:eastAsia="en-GB"/>
              </w:rPr>
              <w:t>ri_ALRI_</w:t>
            </w:r>
            <w:r>
              <w:rPr>
                <w:rFonts w:eastAsia="Times New Roman" w:cs="Arial"/>
                <w:b/>
                <w:color w:val="000000"/>
                <w:sz w:val="21"/>
                <w:szCs w:val="21"/>
                <w:lang w:eastAsia="en-GB"/>
              </w:rPr>
              <w:t>on_</w:t>
            </w:r>
            <w:r w:rsidRPr="007743E5">
              <w:rPr>
                <w:rFonts w:eastAsia="Times New Roman" w:cs="Arial"/>
                <w:b/>
                <w:color w:val="000000"/>
                <w:sz w:val="21"/>
                <w:szCs w:val="21"/>
                <w:lang w:eastAsia="en-GB"/>
              </w:rPr>
              <w:t>treatment</w:t>
            </w:r>
          </w:p>
        </w:tc>
        <w:tc>
          <w:tcPr>
            <w:tcW w:w="3460" w:type="dxa"/>
            <w:tcBorders>
              <w:top w:val="nil"/>
              <w:left w:val="nil"/>
              <w:bottom w:val="single" w:sz="4" w:space="0" w:color="auto"/>
              <w:right w:val="single" w:sz="4" w:space="0" w:color="auto"/>
            </w:tcBorders>
            <w:shd w:val="clear" w:color="auto" w:fill="auto"/>
            <w:noWrap/>
            <w:vAlign w:val="center"/>
            <w:hideMark/>
          </w:tcPr>
          <w:p w14:paraId="7BC122B7" w14:textId="77777777" w:rsidR="0040395A" w:rsidRPr="007743E5" w:rsidRDefault="0040395A" w:rsidP="00931C6E">
            <w:pPr>
              <w:spacing w:after="0" w:line="240" w:lineRule="auto"/>
              <w:ind w:firstLine="0"/>
              <w:jc w:val="left"/>
              <w:rPr>
                <w:rFonts w:eastAsia="Times New Roman" w:cs="Arial"/>
                <w:color w:val="000000"/>
                <w:sz w:val="21"/>
                <w:szCs w:val="21"/>
                <w:lang w:eastAsia="en-GB"/>
              </w:rPr>
            </w:pPr>
            <w:r>
              <w:rPr>
                <w:rFonts w:eastAsia="Times New Roman" w:cs="Arial"/>
                <w:color w:val="000000"/>
                <w:sz w:val="21"/>
                <w:szCs w:val="21"/>
                <w:lang w:eastAsia="en-GB"/>
              </w:rPr>
              <w:t>False</w:t>
            </w:r>
          </w:p>
        </w:tc>
      </w:tr>
      <w:tr w:rsidR="0040395A" w:rsidRPr="007743E5" w14:paraId="0843FC84" w14:textId="77777777" w:rsidTr="00931C6E">
        <w:trPr>
          <w:trHeight w:val="310"/>
        </w:trPr>
        <w:tc>
          <w:tcPr>
            <w:tcW w:w="3566" w:type="dxa"/>
            <w:tcBorders>
              <w:top w:val="nil"/>
              <w:left w:val="single" w:sz="4" w:space="0" w:color="auto"/>
              <w:bottom w:val="single" w:sz="4" w:space="0" w:color="auto"/>
              <w:right w:val="single" w:sz="4" w:space="0" w:color="auto"/>
            </w:tcBorders>
            <w:shd w:val="clear" w:color="auto" w:fill="auto"/>
            <w:noWrap/>
            <w:vAlign w:val="center"/>
            <w:hideMark/>
          </w:tcPr>
          <w:p w14:paraId="193FA671" w14:textId="77777777" w:rsidR="0040395A" w:rsidRPr="007743E5" w:rsidRDefault="0040395A" w:rsidP="00931C6E">
            <w:pPr>
              <w:spacing w:after="0" w:line="240" w:lineRule="auto"/>
              <w:ind w:firstLine="0"/>
              <w:jc w:val="left"/>
              <w:rPr>
                <w:rFonts w:eastAsia="Times New Roman" w:cs="Arial"/>
                <w:b/>
                <w:color w:val="000000"/>
                <w:sz w:val="21"/>
                <w:szCs w:val="21"/>
                <w:lang w:eastAsia="en-GB"/>
              </w:rPr>
            </w:pPr>
            <w:r w:rsidRPr="007743E5">
              <w:rPr>
                <w:rFonts w:eastAsia="Times New Roman" w:cs="Arial"/>
                <w:b/>
                <w:color w:val="000000"/>
                <w:sz w:val="21"/>
                <w:szCs w:val="21"/>
                <w:lang w:eastAsia="en-GB"/>
              </w:rPr>
              <w:t>ri_ALRI_tx_start_date</w:t>
            </w:r>
          </w:p>
        </w:tc>
        <w:tc>
          <w:tcPr>
            <w:tcW w:w="3460" w:type="dxa"/>
            <w:tcBorders>
              <w:top w:val="nil"/>
              <w:left w:val="nil"/>
              <w:bottom w:val="single" w:sz="4" w:space="0" w:color="auto"/>
              <w:right w:val="single" w:sz="4" w:space="0" w:color="auto"/>
            </w:tcBorders>
            <w:shd w:val="clear" w:color="auto" w:fill="auto"/>
            <w:noWrap/>
            <w:vAlign w:val="center"/>
            <w:hideMark/>
          </w:tcPr>
          <w:p w14:paraId="39E1032F" w14:textId="77777777" w:rsidR="0040395A" w:rsidRPr="007743E5" w:rsidRDefault="0040395A" w:rsidP="00931C6E">
            <w:pPr>
              <w:spacing w:after="0" w:line="240" w:lineRule="auto"/>
              <w:ind w:firstLine="0"/>
              <w:jc w:val="left"/>
              <w:rPr>
                <w:rFonts w:eastAsia="Times New Roman" w:cs="Arial"/>
                <w:color w:val="000000"/>
                <w:sz w:val="21"/>
                <w:szCs w:val="21"/>
                <w:lang w:eastAsia="en-GB"/>
              </w:rPr>
            </w:pPr>
            <w:r w:rsidRPr="007743E5">
              <w:rPr>
                <w:rFonts w:eastAsia="Times New Roman" w:cs="Arial"/>
                <w:color w:val="000000"/>
                <w:sz w:val="21"/>
                <w:szCs w:val="21"/>
                <w:lang w:eastAsia="en-GB"/>
              </w:rPr>
              <w:t>pd.NaT</w:t>
            </w:r>
          </w:p>
        </w:tc>
      </w:tr>
      <w:tr w:rsidR="0040395A" w:rsidRPr="007743E5" w14:paraId="509078CB" w14:textId="77777777" w:rsidTr="00931C6E">
        <w:trPr>
          <w:trHeight w:val="310"/>
        </w:trPr>
        <w:tc>
          <w:tcPr>
            <w:tcW w:w="3566" w:type="dxa"/>
            <w:tcBorders>
              <w:top w:val="nil"/>
              <w:left w:val="single" w:sz="4" w:space="0" w:color="auto"/>
              <w:bottom w:val="single" w:sz="4" w:space="0" w:color="auto"/>
              <w:right w:val="single" w:sz="4" w:space="0" w:color="auto"/>
            </w:tcBorders>
            <w:shd w:val="clear" w:color="auto" w:fill="auto"/>
            <w:noWrap/>
            <w:vAlign w:val="center"/>
            <w:hideMark/>
          </w:tcPr>
          <w:p w14:paraId="333B10A5" w14:textId="77777777" w:rsidR="0040395A" w:rsidRPr="007743E5" w:rsidRDefault="0040395A" w:rsidP="00931C6E">
            <w:pPr>
              <w:spacing w:after="0" w:line="240" w:lineRule="auto"/>
              <w:ind w:firstLine="0"/>
              <w:jc w:val="left"/>
              <w:rPr>
                <w:rFonts w:eastAsia="Times New Roman" w:cs="Arial"/>
                <w:b/>
                <w:color w:val="000000"/>
                <w:sz w:val="21"/>
                <w:szCs w:val="21"/>
                <w:lang w:eastAsia="en-GB"/>
              </w:rPr>
            </w:pPr>
            <w:r w:rsidRPr="007743E5">
              <w:rPr>
                <w:rFonts w:eastAsia="Times New Roman" w:cs="Arial"/>
                <w:b/>
                <w:color w:val="000000"/>
                <w:sz w:val="21"/>
                <w:szCs w:val="21"/>
                <w:lang w:eastAsia="en-GB"/>
              </w:rPr>
              <w:t>ri_chest_auscultations_signs</w:t>
            </w:r>
          </w:p>
        </w:tc>
        <w:tc>
          <w:tcPr>
            <w:tcW w:w="3460" w:type="dxa"/>
            <w:tcBorders>
              <w:top w:val="nil"/>
              <w:left w:val="nil"/>
              <w:bottom w:val="single" w:sz="4" w:space="0" w:color="auto"/>
              <w:right w:val="single" w:sz="4" w:space="0" w:color="auto"/>
            </w:tcBorders>
            <w:shd w:val="clear" w:color="auto" w:fill="auto"/>
            <w:noWrap/>
            <w:vAlign w:val="center"/>
            <w:hideMark/>
          </w:tcPr>
          <w:p w14:paraId="7BFA68B9" w14:textId="77777777" w:rsidR="0040395A" w:rsidRPr="007743E5" w:rsidRDefault="0040395A" w:rsidP="00931C6E">
            <w:pPr>
              <w:spacing w:after="0" w:line="240" w:lineRule="auto"/>
              <w:ind w:firstLine="0"/>
              <w:jc w:val="left"/>
              <w:rPr>
                <w:rFonts w:eastAsia="Times New Roman" w:cs="Arial"/>
                <w:color w:val="000000"/>
                <w:sz w:val="21"/>
                <w:szCs w:val="21"/>
                <w:lang w:eastAsia="en-GB"/>
              </w:rPr>
            </w:pPr>
            <w:r w:rsidRPr="007743E5">
              <w:rPr>
                <w:rFonts w:eastAsia="Times New Roman" w:cs="Arial"/>
                <w:color w:val="000000"/>
                <w:sz w:val="21"/>
                <w:szCs w:val="21"/>
                <w:lang w:eastAsia="en-GB"/>
              </w:rPr>
              <w:t>not_applicable</w:t>
            </w:r>
          </w:p>
        </w:tc>
      </w:tr>
      <w:tr w:rsidR="0040395A" w:rsidRPr="007743E5" w14:paraId="685CC355" w14:textId="77777777" w:rsidTr="00931C6E">
        <w:trPr>
          <w:trHeight w:val="310"/>
        </w:trPr>
        <w:tc>
          <w:tcPr>
            <w:tcW w:w="3566" w:type="dxa"/>
            <w:tcBorders>
              <w:top w:val="nil"/>
              <w:left w:val="single" w:sz="4" w:space="0" w:color="auto"/>
              <w:bottom w:val="single" w:sz="4" w:space="0" w:color="auto"/>
              <w:right w:val="single" w:sz="4" w:space="0" w:color="auto"/>
            </w:tcBorders>
            <w:shd w:val="clear" w:color="auto" w:fill="auto"/>
            <w:noWrap/>
            <w:vAlign w:val="center"/>
            <w:hideMark/>
          </w:tcPr>
          <w:p w14:paraId="5176D9B0" w14:textId="77777777" w:rsidR="0040395A" w:rsidRPr="007743E5" w:rsidRDefault="0040395A" w:rsidP="00931C6E">
            <w:pPr>
              <w:spacing w:after="0" w:line="240" w:lineRule="auto"/>
              <w:ind w:firstLine="0"/>
              <w:jc w:val="left"/>
              <w:rPr>
                <w:rFonts w:eastAsia="Times New Roman" w:cs="Arial"/>
                <w:b/>
                <w:color w:val="000000"/>
                <w:sz w:val="21"/>
                <w:szCs w:val="21"/>
                <w:lang w:eastAsia="en-GB"/>
              </w:rPr>
            </w:pPr>
            <w:r w:rsidRPr="007743E5">
              <w:rPr>
                <w:rFonts w:eastAsia="Times New Roman" w:cs="Arial"/>
                <w:b/>
                <w:color w:val="000000"/>
                <w:sz w:val="21"/>
                <w:szCs w:val="21"/>
                <w:lang w:eastAsia="en-GB"/>
              </w:rPr>
              <w:t>ri_ALRI_antibiotic_administered</w:t>
            </w:r>
          </w:p>
        </w:tc>
        <w:tc>
          <w:tcPr>
            <w:tcW w:w="3460" w:type="dxa"/>
            <w:tcBorders>
              <w:top w:val="nil"/>
              <w:left w:val="nil"/>
              <w:bottom w:val="single" w:sz="4" w:space="0" w:color="auto"/>
              <w:right w:val="single" w:sz="4" w:space="0" w:color="auto"/>
            </w:tcBorders>
            <w:shd w:val="clear" w:color="auto" w:fill="auto"/>
            <w:noWrap/>
            <w:vAlign w:val="center"/>
            <w:hideMark/>
          </w:tcPr>
          <w:p w14:paraId="578A1BE3" w14:textId="77777777" w:rsidR="0040395A" w:rsidRPr="007743E5" w:rsidRDefault="0040395A" w:rsidP="00931C6E">
            <w:pPr>
              <w:spacing w:after="0" w:line="240" w:lineRule="auto"/>
              <w:ind w:firstLine="0"/>
              <w:jc w:val="left"/>
              <w:rPr>
                <w:rFonts w:eastAsia="Times New Roman" w:cs="Arial"/>
                <w:color w:val="000000"/>
                <w:sz w:val="21"/>
                <w:szCs w:val="21"/>
                <w:lang w:eastAsia="en-GB"/>
              </w:rPr>
            </w:pPr>
            <w:r w:rsidRPr="007743E5">
              <w:rPr>
                <w:rFonts w:eastAsia="Times New Roman" w:cs="Arial"/>
                <w:color w:val="000000"/>
                <w:sz w:val="21"/>
                <w:szCs w:val="21"/>
                <w:lang w:eastAsia="en-GB"/>
              </w:rPr>
              <w:t>not_applicable</w:t>
            </w:r>
          </w:p>
        </w:tc>
      </w:tr>
      <w:tr w:rsidR="0040395A" w:rsidRPr="007743E5" w14:paraId="104FA9BD" w14:textId="77777777" w:rsidTr="00931C6E">
        <w:trPr>
          <w:trHeight w:val="310"/>
        </w:trPr>
        <w:tc>
          <w:tcPr>
            <w:tcW w:w="3566" w:type="dxa"/>
            <w:tcBorders>
              <w:top w:val="nil"/>
              <w:left w:val="single" w:sz="4" w:space="0" w:color="auto"/>
              <w:bottom w:val="single" w:sz="4" w:space="0" w:color="auto"/>
              <w:right w:val="single" w:sz="4" w:space="0" w:color="auto"/>
            </w:tcBorders>
            <w:shd w:val="clear" w:color="auto" w:fill="auto"/>
            <w:noWrap/>
            <w:vAlign w:val="center"/>
            <w:hideMark/>
          </w:tcPr>
          <w:p w14:paraId="49BE74FC" w14:textId="77777777" w:rsidR="0040395A" w:rsidRPr="007743E5" w:rsidRDefault="0040395A" w:rsidP="00931C6E">
            <w:pPr>
              <w:spacing w:after="0" w:line="240" w:lineRule="auto"/>
              <w:ind w:firstLine="0"/>
              <w:jc w:val="left"/>
              <w:rPr>
                <w:rFonts w:eastAsia="Times New Roman" w:cs="Arial"/>
                <w:b/>
                <w:color w:val="000000"/>
                <w:sz w:val="21"/>
                <w:szCs w:val="21"/>
                <w:lang w:eastAsia="en-GB"/>
              </w:rPr>
            </w:pPr>
            <w:r w:rsidRPr="007743E5">
              <w:rPr>
                <w:rFonts w:eastAsia="Times New Roman" w:cs="Arial"/>
                <w:b/>
                <w:color w:val="000000"/>
                <w:sz w:val="21"/>
                <w:szCs w:val="21"/>
                <w:lang w:eastAsia="en-GB"/>
              </w:rPr>
              <w:t>ri_peripheral_oxygen_saturation</w:t>
            </w:r>
          </w:p>
        </w:tc>
        <w:tc>
          <w:tcPr>
            <w:tcW w:w="3460" w:type="dxa"/>
            <w:tcBorders>
              <w:top w:val="nil"/>
              <w:left w:val="nil"/>
              <w:bottom w:val="single" w:sz="4" w:space="0" w:color="auto"/>
              <w:right w:val="single" w:sz="4" w:space="0" w:color="auto"/>
            </w:tcBorders>
            <w:shd w:val="clear" w:color="auto" w:fill="auto"/>
            <w:noWrap/>
            <w:vAlign w:val="center"/>
            <w:hideMark/>
          </w:tcPr>
          <w:p w14:paraId="2A9AD0F9" w14:textId="77777777" w:rsidR="0040395A" w:rsidRPr="007743E5" w:rsidRDefault="0040395A" w:rsidP="00931C6E">
            <w:pPr>
              <w:spacing w:after="0" w:line="240" w:lineRule="auto"/>
              <w:ind w:firstLine="0"/>
              <w:jc w:val="left"/>
              <w:rPr>
                <w:rFonts w:eastAsia="Times New Roman" w:cs="Arial"/>
                <w:color w:val="000000"/>
                <w:sz w:val="21"/>
                <w:szCs w:val="21"/>
                <w:lang w:eastAsia="en-GB"/>
              </w:rPr>
            </w:pPr>
            <w:r w:rsidRPr="007743E5">
              <w:rPr>
                <w:rFonts w:eastAsia="Times New Roman" w:cs="Arial"/>
                <w:color w:val="000000"/>
                <w:sz w:val="21"/>
                <w:szCs w:val="21"/>
                <w:lang w:eastAsia="en-GB"/>
              </w:rPr>
              <w:t>not_applicable</w:t>
            </w:r>
          </w:p>
        </w:tc>
      </w:tr>
      <w:tr w:rsidR="0040395A" w:rsidRPr="007743E5" w14:paraId="350A0246" w14:textId="77777777" w:rsidTr="00931C6E">
        <w:trPr>
          <w:trHeight w:val="310"/>
        </w:trPr>
        <w:tc>
          <w:tcPr>
            <w:tcW w:w="3566" w:type="dxa"/>
            <w:tcBorders>
              <w:top w:val="nil"/>
              <w:left w:val="single" w:sz="4" w:space="0" w:color="auto"/>
              <w:bottom w:val="single" w:sz="4" w:space="0" w:color="auto"/>
              <w:right w:val="single" w:sz="4" w:space="0" w:color="auto"/>
            </w:tcBorders>
            <w:shd w:val="clear" w:color="auto" w:fill="auto"/>
            <w:noWrap/>
            <w:vAlign w:val="center"/>
            <w:hideMark/>
          </w:tcPr>
          <w:p w14:paraId="5B2F83DC" w14:textId="77777777" w:rsidR="0040395A" w:rsidRPr="007743E5" w:rsidRDefault="0040395A" w:rsidP="00931C6E">
            <w:pPr>
              <w:spacing w:after="0" w:line="240" w:lineRule="auto"/>
              <w:ind w:firstLine="0"/>
              <w:jc w:val="left"/>
              <w:rPr>
                <w:rFonts w:eastAsia="Times New Roman" w:cs="Arial"/>
                <w:b/>
                <w:color w:val="000000"/>
                <w:sz w:val="21"/>
                <w:szCs w:val="21"/>
                <w:lang w:eastAsia="en-GB"/>
              </w:rPr>
            </w:pPr>
            <w:r w:rsidRPr="007743E5">
              <w:rPr>
                <w:rFonts w:eastAsia="Times New Roman" w:cs="Arial"/>
                <w:b/>
                <w:color w:val="000000"/>
                <w:sz w:val="21"/>
                <w:szCs w:val="21"/>
                <w:lang w:eastAsia="en-GB"/>
              </w:rPr>
              <w:t>ri_oxygen_therapy_given</w:t>
            </w:r>
          </w:p>
        </w:tc>
        <w:tc>
          <w:tcPr>
            <w:tcW w:w="3460" w:type="dxa"/>
            <w:tcBorders>
              <w:top w:val="nil"/>
              <w:left w:val="nil"/>
              <w:bottom w:val="single" w:sz="4" w:space="0" w:color="auto"/>
              <w:right w:val="single" w:sz="4" w:space="0" w:color="auto"/>
            </w:tcBorders>
            <w:shd w:val="clear" w:color="auto" w:fill="auto"/>
            <w:noWrap/>
            <w:vAlign w:val="center"/>
            <w:hideMark/>
          </w:tcPr>
          <w:p w14:paraId="48E284B5" w14:textId="77777777" w:rsidR="0040395A" w:rsidRPr="007743E5" w:rsidRDefault="0040395A" w:rsidP="00931C6E">
            <w:pPr>
              <w:spacing w:after="0" w:line="240" w:lineRule="auto"/>
              <w:ind w:firstLine="0"/>
              <w:jc w:val="left"/>
              <w:rPr>
                <w:rFonts w:eastAsia="Times New Roman" w:cs="Arial"/>
                <w:color w:val="000000"/>
                <w:sz w:val="21"/>
                <w:szCs w:val="21"/>
                <w:lang w:eastAsia="en-GB"/>
              </w:rPr>
            </w:pPr>
            <w:r w:rsidRPr="007743E5">
              <w:rPr>
                <w:rFonts w:eastAsia="Times New Roman" w:cs="Arial"/>
                <w:color w:val="000000"/>
                <w:sz w:val="21"/>
                <w:szCs w:val="21"/>
                <w:lang w:eastAsia="en-GB"/>
              </w:rPr>
              <w:t>False</w:t>
            </w:r>
          </w:p>
        </w:tc>
      </w:tr>
    </w:tbl>
    <w:p w14:paraId="5C060E32" w14:textId="77777777" w:rsidR="0040395A" w:rsidRDefault="0040395A" w:rsidP="0040395A"/>
    <w:p w14:paraId="6F5B7B0A" w14:textId="77777777" w:rsidR="0040395A" w:rsidRDefault="0040395A" w:rsidP="0040395A">
      <w:r>
        <w:t>When the simulation is run, the model updates information on each individual with regards to ALRI status every 3 months. In this section, the following diagrams illustrate how the ALRI module updates its properties in the simulation run, which are determined by parameters.</w:t>
      </w:r>
    </w:p>
    <w:p w14:paraId="238C1789" w14:textId="77777777" w:rsidR="0040395A" w:rsidRDefault="0040395A" w:rsidP="0040395A"/>
    <w:p w14:paraId="506FA1A2" w14:textId="77777777" w:rsidR="0040395A" w:rsidRDefault="0040395A" w:rsidP="0040395A">
      <w:pPr>
        <w:pStyle w:val="ListParagraph"/>
        <w:numPr>
          <w:ilvl w:val="0"/>
          <w:numId w:val="29"/>
        </w:numPr>
        <w:spacing w:after="0"/>
        <w:jc w:val="left"/>
      </w:pPr>
      <w:r>
        <w:t>Updating ALRI status based on the incidence of infection by a certain pathogen</w:t>
      </w:r>
    </w:p>
    <w:p w14:paraId="6598ACE6" w14:textId="77777777" w:rsidR="0040395A" w:rsidRDefault="0040395A" w:rsidP="0040395A">
      <w:pPr>
        <w:pStyle w:val="ListParagraph"/>
        <w:ind w:firstLine="0"/>
      </w:pPr>
      <w:r>
        <w:t xml:space="preserve">Property name: </w:t>
      </w:r>
      <w:r>
        <w:rPr>
          <w:b/>
        </w:rPr>
        <w:t>ri_ALRI_status</w:t>
      </w:r>
      <w:r w:rsidRPr="00A86E81">
        <w:t xml:space="preserve">, </w:t>
      </w:r>
      <w:r>
        <w:t xml:space="preserve">Type: </w:t>
      </w:r>
      <w:r w:rsidRPr="00A86E81">
        <w:t xml:space="preserve">Boolean </w:t>
      </w:r>
    </w:p>
    <w:p w14:paraId="2D2DE6B9" w14:textId="77777777" w:rsidR="0040395A" w:rsidRDefault="0040395A" w:rsidP="0040395A">
      <w:pPr>
        <w:ind w:firstLine="0"/>
      </w:pPr>
      <w:r>
        <w:rPr>
          <w:noProof/>
          <w:lang w:eastAsia="en-GB"/>
        </w:rPr>
        <w:drawing>
          <wp:inline distT="0" distB="0" distL="0" distR="0" wp14:anchorId="68305E4E" wp14:editId="229EC216">
            <wp:extent cx="6480000" cy="1423353"/>
            <wp:effectExtent l="0" t="0" r="0" b="5715"/>
            <wp:docPr id="6" name="Picture 6" descr="https://documents.lucid.app/documents/92f0a254-11cd-4f78-bdc7-97c7d3c72109/pages/0_0?a=4104&amp;x=26&amp;y=-2373&amp;w=1185&amp;h=281&amp;store=1&amp;accept=image%2F*&amp;auth=LCA%2092646c6062332608951c99c05052d50c80e5fd18-ts%3D160992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lucid.app/documents/92f0a254-11cd-4f78-bdc7-97c7d3c72109/pages/0_0?a=4104&amp;x=26&amp;y=-2373&amp;w=1185&amp;h=281&amp;store=1&amp;accept=image%2F*&amp;auth=LCA%2092646c6062332608951c99c05052d50c80e5fd18-ts%3D1609924294"/>
                    <pic:cNvPicPr>
                      <a:picLocks noChangeAspect="1" noChangeArrowheads="1"/>
                    </pic:cNvPicPr>
                  </pic:nvPicPr>
                  <pic:blipFill rotWithShape="1">
                    <a:blip r:embed="rId18">
                      <a:extLst>
                        <a:ext uri="{28A0092B-C50C-407E-A947-70E740481C1C}">
                          <a14:useLocalDpi xmlns:a14="http://schemas.microsoft.com/office/drawing/2010/main" val="0"/>
                        </a:ext>
                      </a:extLst>
                    </a:blip>
                    <a:srcRect l="5051" t="6967" r="4518" b="9417"/>
                    <a:stretch/>
                  </pic:blipFill>
                  <pic:spPr bwMode="auto">
                    <a:xfrm>
                      <a:off x="0" y="0"/>
                      <a:ext cx="6480000" cy="1423353"/>
                    </a:xfrm>
                    <a:prstGeom prst="rect">
                      <a:avLst/>
                    </a:prstGeom>
                    <a:noFill/>
                    <a:ln>
                      <a:noFill/>
                    </a:ln>
                    <a:extLst>
                      <a:ext uri="{53640926-AAD7-44D8-BBD7-CCE9431645EC}">
                        <a14:shadowObscured xmlns:a14="http://schemas.microsoft.com/office/drawing/2010/main"/>
                      </a:ext>
                    </a:extLst>
                  </pic:spPr>
                </pic:pic>
              </a:graphicData>
            </a:graphic>
          </wp:inline>
        </w:drawing>
      </w:r>
    </w:p>
    <w:p w14:paraId="54F901A6" w14:textId="77777777" w:rsidR="0040395A" w:rsidRDefault="0040395A" w:rsidP="0040395A">
      <w:r>
        <w:t>Based on pathogen-specific incidences of ALRI and the relative risk of risk factors for disease acquisition, an individual can acquire an ALRI status. Therefore updating the property ri_ALRI_status to ‘True’.</w:t>
      </w:r>
    </w:p>
    <w:p w14:paraId="6FC13137" w14:textId="77777777" w:rsidR="0040395A" w:rsidRDefault="0040395A" w:rsidP="0040395A">
      <w:r>
        <w:t>As the ALRI status is ‘True’ so will the other ALRI properties be updated.</w:t>
      </w:r>
    </w:p>
    <w:p w14:paraId="618A0B1B" w14:textId="77777777" w:rsidR="0040395A" w:rsidRDefault="0040395A" w:rsidP="0040395A"/>
    <w:p w14:paraId="07D8FC07" w14:textId="77777777" w:rsidR="0040395A" w:rsidRDefault="0040395A" w:rsidP="0040395A">
      <w:pPr>
        <w:pStyle w:val="ListParagraph"/>
        <w:numPr>
          <w:ilvl w:val="0"/>
          <w:numId w:val="29"/>
        </w:numPr>
        <w:spacing w:after="0"/>
        <w:jc w:val="left"/>
      </w:pPr>
      <w:r>
        <w:t>Updating the primary pathogen causing ALRI</w:t>
      </w:r>
    </w:p>
    <w:p w14:paraId="2A495DA1" w14:textId="77777777" w:rsidR="0040395A" w:rsidRDefault="0040395A" w:rsidP="0040395A">
      <w:pPr>
        <w:pStyle w:val="ListParagraph"/>
        <w:ind w:firstLine="0"/>
      </w:pPr>
      <w:r>
        <w:t xml:space="preserve">Property name: </w:t>
      </w:r>
      <w:r>
        <w:rPr>
          <w:b/>
        </w:rPr>
        <w:t>ri_primary_ALRI_pathogen</w:t>
      </w:r>
      <w:r>
        <w:t>, Type: Categorical</w:t>
      </w:r>
    </w:p>
    <w:p w14:paraId="5B99AF18" w14:textId="77777777" w:rsidR="0040395A" w:rsidRPr="001C4119" w:rsidRDefault="0040395A" w:rsidP="0040395A">
      <w:r>
        <w:t>Further detailing the move between ‘False’ and ‘True’ of the ri_ALRI_status property, at T0 the ri_primary_ALRI_pathogen status is ‘not_applicable’ as there is no infection. When an ALRI infection is acquired based on the pathogen-specific incidences and the effects of risk factors on disease acquisition, the causal pathogen for that episode is updated.</w:t>
      </w:r>
    </w:p>
    <w:p w14:paraId="31DF221B" w14:textId="77777777" w:rsidR="0040395A" w:rsidRDefault="0040395A" w:rsidP="0040395A">
      <w:pPr>
        <w:ind w:firstLine="0"/>
      </w:pPr>
      <w:r>
        <w:rPr>
          <w:noProof/>
          <w:lang w:eastAsia="en-GB"/>
        </w:rPr>
        <w:lastRenderedPageBreak/>
        <w:drawing>
          <wp:inline distT="0" distB="0" distL="0" distR="0" wp14:anchorId="3F88811C" wp14:editId="72CDF512">
            <wp:extent cx="6119495" cy="9363919"/>
            <wp:effectExtent l="0" t="0" r="0" b="8890"/>
            <wp:docPr id="1" name="Picture 1" descr="https://documents.lucid.app/documents/92f0a254-11cd-4f78-bdc7-97c7d3c72109/pages/0_0?a=2337&amp;x=25&amp;y=-964&amp;w=1209&amp;h=3597&amp;store=1&amp;accept=image%2F*&amp;auth=LCA%200d7e79482262f384bc887ba1068f8ce6c268f1ee-ts%3D160985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lucid.app/documents/92f0a254-11cd-4f78-bdc7-97c7d3c72109/pages/0_0?a=2337&amp;x=25&amp;y=-964&amp;w=1209&amp;h=3597&amp;store=1&amp;accept=image%2F*&amp;auth=LCA%200d7e79482262f384bc887ba1068f8ce6c268f1ee-ts%3D1609857471"/>
                    <pic:cNvPicPr>
                      <a:picLocks noChangeAspect="1" noChangeArrowheads="1"/>
                    </pic:cNvPicPr>
                  </pic:nvPicPr>
                  <pic:blipFill rotWithShape="1">
                    <a:blip r:embed="rId19">
                      <a:extLst>
                        <a:ext uri="{28A0092B-C50C-407E-A947-70E740481C1C}">
                          <a14:useLocalDpi xmlns:a14="http://schemas.microsoft.com/office/drawing/2010/main" val="0"/>
                        </a:ext>
                      </a:extLst>
                    </a:blip>
                    <a:srcRect t="4890" b="43657"/>
                    <a:stretch/>
                  </pic:blipFill>
                  <pic:spPr bwMode="auto">
                    <a:xfrm>
                      <a:off x="0" y="0"/>
                      <a:ext cx="6120000" cy="9364692"/>
                    </a:xfrm>
                    <a:prstGeom prst="rect">
                      <a:avLst/>
                    </a:prstGeom>
                    <a:noFill/>
                    <a:ln>
                      <a:noFill/>
                    </a:ln>
                    <a:extLst>
                      <a:ext uri="{53640926-AAD7-44D8-BBD7-CCE9431645EC}">
                        <a14:shadowObscured xmlns:a14="http://schemas.microsoft.com/office/drawing/2010/main"/>
                      </a:ext>
                    </a:extLst>
                  </pic:spPr>
                </pic:pic>
              </a:graphicData>
            </a:graphic>
          </wp:inline>
        </w:drawing>
      </w:r>
    </w:p>
    <w:p w14:paraId="582C3F59" w14:textId="77777777" w:rsidR="0040395A" w:rsidRPr="00763F78" w:rsidRDefault="0040395A" w:rsidP="0040395A">
      <w:r w:rsidRPr="00763F78">
        <w:t>Continued….</w:t>
      </w:r>
    </w:p>
    <w:p w14:paraId="3487157F" w14:textId="77777777" w:rsidR="0040395A" w:rsidRDefault="0040395A" w:rsidP="0040395A">
      <w:pPr>
        <w:ind w:firstLine="0"/>
        <w:rPr>
          <w:b/>
        </w:rPr>
      </w:pPr>
      <w:r>
        <w:rPr>
          <w:noProof/>
          <w:lang w:eastAsia="en-GB"/>
        </w:rPr>
        <w:lastRenderedPageBreak/>
        <w:drawing>
          <wp:inline distT="0" distB="0" distL="0" distR="0" wp14:anchorId="623FB4F0" wp14:editId="410D4FB4">
            <wp:extent cx="6119302" cy="7361233"/>
            <wp:effectExtent l="0" t="0" r="0" b="0"/>
            <wp:docPr id="9" name="Picture 9" descr="https://documents.lucid.app/documents/92f0a254-11cd-4f78-bdc7-97c7d3c72109/pages/0_0?a=2337&amp;x=25&amp;y=-964&amp;w=1209&amp;h=3597&amp;store=1&amp;accept=image%2F*&amp;auth=LCA%200d7e79482262f384bc887ba1068f8ce6c268f1ee-ts%3D160985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lucid.app/documents/92f0a254-11cd-4f78-bdc7-97c7d3c72109/pages/0_0?a=2337&amp;x=25&amp;y=-964&amp;w=1209&amp;h=3597&amp;store=1&amp;accept=image%2F*&amp;auth=LCA%200d7e79482262f384bc887ba1068f8ce6c268f1ee-ts%3D1609857471"/>
                    <pic:cNvPicPr>
                      <a:picLocks noChangeAspect="1" noChangeArrowheads="1"/>
                    </pic:cNvPicPr>
                  </pic:nvPicPr>
                  <pic:blipFill rotWithShape="1">
                    <a:blip r:embed="rId19">
                      <a:extLst>
                        <a:ext uri="{28A0092B-C50C-407E-A947-70E740481C1C}">
                          <a14:useLocalDpi xmlns:a14="http://schemas.microsoft.com/office/drawing/2010/main" val="0"/>
                        </a:ext>
                      </a:extLst>
                    </a:blip>
                    <a:srcRect t="56423" b="3127"/>
                    <a:stretch/>
                  </pic:blipFill>
                  <pic:spPr bwMode="auto">
                    <a:xfrm>
                      <a:off x="0" y="0"/>
                      <a:ext cx="6120000" cy="7362072"/>
                    </a:xfrm>
                    <a:prstGeom prst="rect">
                      <a:avLst/>
                    </a:prstGeom>
                    <a:noFill/>
                    <a:ln>
                      <a:noFill/>
                    </a:ln>
                    <a:extLst>
                      <a:ext uri="{53640926-AAD7-44D8-BBD7-CCE9431645EC}">
                        <a14:shadowObscured xmlns:a14="http://schemas.microsoft.com/office/drawing/2010/main"/>
                      </a:ext>
                    </a:extLst>
                  </pic:spPr>
                </pic:pic>
              </a:graphicData>
            </a:graphic>
          </wp:inline>
        </w:drawing>
      </w:r>
    </w:p>
    <w:p w14:paraId="5164E908" w14:textId="497E3B2E" w:rsidR="0040395A" w:rsidRPr="00844AE5" w:rsidRDefault="0040395A" w:rsidP="0040395A">
      <w:pPr>
        <w:ind w:firstLine="0"/>
        <w:rPr>
          <w:b/>
        </w:rPr>
      </w:pPr>
    </w:p>
    <w:p w14:paraId="274CB1BF" w14:textId="77777777" w:rsidR="0040395A" w:rsidRDefault="0040395A" w:rsidP="0040395A">
      <w:pPr>
        <w:pStyle w:val="ListParagraph"/>
        <w:numPr>
          <w:ilvl w:val="0"/>
          <w:numId w:val="29"/>
        </w:numPr>
        <w:spacing w:after="0"/>
        <w:jc w:val="left"/>
      </w:pPr>
      <w:r>
        <w:t>Updating ALRI disease type following acquisition of primary pathogen</w:t>
      </w:r>
    </w:p>
    <w:p w14:paraId="444BBE0F" w14:textId="77777777" w:rsidR="0040395A" w:rsidRDefault="0040395A" w:rsidP="0040395A">
      <w:pPr>
        <w:pStyle w:val="ListParagraph"/>
        <w:ind w:firstLine="0"/>
      </w:pPr>
      <w:r>
        <w:t xml:space="preserve">Property name: </w:t>
      </w:r>
      <w:r w:rsidRPr="00E046E2">
        <w:rPr>
          <w:b/>
        </w:rPr>
        <w:t>ri_ALRI_disease_type</w:t>
      </w:r>
      <w:r>
        <w:t>, type: Categorical</w:t>
      </w:r>
    </w:p>
    <w:p w14:paraId="28C71ED7" w14:textId="77777777" w:rsidR="0040395A" w:rsidRDefault="0040395A" w:rsidP="0040395A">
      <w:r>
        <w:t>Upon acquisition of a primary pathogen causing ALRI, the disease type is updated to Viral Pneumonia, Bronchiolitis, Bacterial Pneumonia, and Fungal Pneumonia. If viral pathogen was acquired, dependent on the causal agent a certain proportion will cause Viral Pneumonia and the other proportion will cause Bronchiolitis.</w:t>
      </w:r>
      <w:r w:rsidRPr="00844AE5">
        <w:t xml:space="preserve"> </w:t>
      </w:r>
      <w:r>
        <w:t>A probability of a co-infection/secondary bacterial infection is applied for these two viral disease states and the disease type will then be Bacterial Pneumonia. If bacterial pathogen was acquired, the disease type is automatically set as Bacterial Pneumonia; same as for fungal pathogen which will update to Fungal Pneumonia.</w:t>
      </w:r>
    </w:p>
    <w:p w14:paraId="79F6EC54" w14:textId="77777777" w:rsidR="0040395A" w:rsidRDefault="0040395A" w:rsidP="0040395A">
      <w:pPr>
        <w:ind w:firstLine="0"/>
      </w:pPr>
      <w:r>
        <w:rPr>
          <w:noProof/>
          <w:lang w:eastAsia="en-GB"/>
        </w:rPr>
        <w:lastRenderedPageBreak/>
        <w:drawing>
          <wp:inline distT="0" distB="0" distL="0" distR="0" wp14:anchorId="36B7712D" wp14:editId="367D9B72">
            <wp:extent cx="6480000" cy="9490013"/>
            <wp:effectExtent l="0" t="0" r="0" b="0"/>
            <wp:docPr id="10" name="Picture 10" descr="https://documents.lucid.app/documents/92f0a254-11cd-4f78-bdc7-97c7d3c72109/pages/0_0?a=8221&amp;x=-476&amp;y=-2161&amp;w=1672&amp;h=2462&amp;store=1&amp;accept=image%2F*&amp;auth=LCA%2065e88aa8886a84bc08ba0884eebc5a01222ccfc0-ts%3D160992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uments.lucid.app/documents/92f0a254-11cd-4f78-bdc7-97c7d3c72109/pages/0_0?a=8221&amp;x=-476&amp;y=-2161&amp;w=1672&amp;h=2462&amp;store=1&amp;accept=image%2F*&amp;auth=LCA%2065e88aa8886a84bc08ba0884eebc5a01222ccfc0-ts%3D1609924294"/>
                    <pic:cNvPicPr>
                      <a:picLocks noChangeAspect="1" noChangeArrowheads="1"/>
                    </pic:cNvPicPr>
                  </pic:nvPicPr>
                  <pic:blipFill rotWithShape="1">
                    <a:blip r:embed="rId20">
                      <a:extLst>
                        <a:ext uri="{28A0092B-C50C-407E-A947-70E740481C1C}">
                          <a14:useLocalDpi xmlns:a14="http://schemas.microsoft.com/office/drawing/2010/main" val="0"/>
                        </a:ext>
                      </a:extLst>
                    </a:blip>
                    <a:srcRect l="4356" t="4615" r="4363" b="4562"/>
                    <a:stretch/>
                  </pic:blipFill>
                  <pic:spPr bwMode="auto">
                    <a:xfrm>
                      <a:off x="0" y="0"/>
                      <a:ext cx="6480000" cy="9490013"/>
                    </a:xfrm>
                    <a:prstGeom prst="rect">
                      <a:avLst/>
                    </a:prstGeom>
                    <a:noFill/>
                    <a:ln>
                      <a:noFill/>
                    </a:ln>
                    <a:extLst>
                      <a:ext uri="{53640926-AAD7-44D8-BBD7-CCE9431645EC}">
                        <a14:shadowObscured xmlns:a14="http://schemas.microsoft.com/office/drawing/2010/main"/>
                      </a:ext>
                    </a:extLst>
                  </pic:spPr>
                </pic:pic>
              </a:graphicData>
            </a:graphic>
          </wp:inline>
        </w:drawing>
      </w:r>
    </w:p>
    <w:p w14:paraId="10D544A2" w14:textId="77777777" w:rsidR="0040395A" w:rsidRDefault="0040395A" w:rsidP="0040395A">
      <w:pPr>
        <w:ind w:firstLine="0"/>
      </w:pPr>
    </w:p>
    <w:p w14:paraId="60B6C6E7" w14:textId="77777777" w:rsidR="0040395A" w:rsidRDefault="0040395A" w:rsidP="0040395A">
      <w:pPr>
        <w:pStyle w:val="ListParagraph"/>
        <w:numPr>
          <w:ilvl w:val="0"/>
          <w:numId w:val="29"/>
        </w:numPr>
        <w:spacing w:after="0"/>
        <w:jc w:val="left"/>
      </w:pPr>
      <w:r>
        <w:lastRenderedPageBreak/>
        <w:t>When a co-infection /secondary bacterial infection is acquired, the causal bacterial pathogen is updated</w:t>
      </w:r>
    </w:p>
    <w:p w14:paraId="5EF973C4" w14:textId="77777777" w:rsidR="0040395A" w:rsidRPr="00A90049" w:rsidRDefault="0040395A" w:rsidP="0040395A">
      <w:pPr>
        <w:pStyle w:val="ListParagraph"/>
        <w:ind w:firstLine="0"/>
      </w:pPr>
      <w:r>
        <w:t xml:space="preserve">Property name: </w:t>
      </w:r>
      <w:r w:rsidRPr="00E046E2">
        <w:rPr>
          <w:b/>
        </w:rPr>
        <w:t>ri_</w:t>
      </w:r>
      <w:r>
        <w:rPr>
          <w:b/>
        </w:rPr>
        <w:t>secondary_bacterial_pathogen</w:t>
      </w:r>
      <w:r>
        <w:t>, type: Categorical</w:t>
      </w:r>
    </w:p>
    <w:p w14:paraId="22DB1CF7" w14:textId="77777777" w:rsidR="0040395A" w:rsidRDefault="0040395A" w:rsidP="0040395A">
      <w:pPr>
        <w:ind w:firstLine="0"/>
      </w:pPr>
      <w:r>
        <w:rPr>
          <w:noProof/>
          <w:lang w:eastAsia="en-GB"/>
        </w:rPr>
        <w:drawing>
          <wp:inline distT="0" distB="0" distL="0" distR="0" wp14:anchorId="0BC144ED" wp14:editId="107DE9C7">
            <wp:extent cx="6644459" cy="4080076"/>
            <wp:effectExtent l="0" t="0" r="4445" b="0"/>
            <wp:docPr id="5" name="Picture 5" descr="https://documents.lucid.app/documents/92f0a254-11cd-4f78-bdc7-97c7d3c72109/pages/0_0?a=3778&amp;x=1562&amp;y=-1717&amp;w=1276&amp;h=896&amp;store=1&amp;accept=image%2F*&amp;auth=LCA%206f6fa02008b074a82acbb02b483765e5c77ceb2c-ts%3D160987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lucid.app/documents/92f0a254-11cd-4f78-bdc7-97c7d3c72109/pages/0_0?a=3778&amp;x=1562&amp;y=-1717&amp;w=1276&amp;h=896&amp;store=1&amp;accept=image%2F*&amp;auth=LCA%206f6fa02008b074a82acbb02b483765e5c77ceb2c-ts%3D1609870283"/>
                    <pic:cNvPicPr>
                      <a:picLocks noChangeAspect="1" noChangeArrowheads="1"/>
                    </pic:cNvPicPr>
                  </pic:nvPicPr>
                  <pic:blipFill rotWithShape="1">
                    <a:blip r:embed="rId21">
                      <a:extLst>
                        <a:ext uri="{28A0092B-C50C-407E-A947-70E740481C1C}">
                          <a14:useLocalDpi xmlns:a14="http://schemas.microsoft.com/office/drawing/2010/main" val="0"/>
                        </a:ext>
                      </a:extLst>
                    </a:blip>
                    <a:srcRect t="5581" b="6978"/>
                    <a:stretch/>
                  </pic:blipFill>
                  <pic:spPr bwMode="auto">
                    <a:xfrm>
                      <a:off x="0" y="0"/>
                      <a:ext cx="6645910" cy="4080967"/>
                    </a:xfrm>
                    <a:prstGeom prst="rect">
                      <a:avLst/>
                    </a:prstGeom>
                    <a:noFill/>
                    <a:ln>
                      <a:noFill/>
                    </a:ln>
                    <a:extLst>
                      <a:ext uri="{53640926-AAD7-44D8-BBD7-CCE9431645EC}">
                        <a14:shadowObscured xmlns:a14="http://schemas.microsoft.com/office/drawing/2010/main"/>
                      </a:ext>
                    </a:extLst>
                  </pic:spPr>
                </pic:pic>
              </a:graphicData>
            </a:graphic>
          </wp:inline>
        </w:drawing>
      </w:r>
    </w:p>
    <w:p w14:paraId="11329D09" w14:textId="6FDBD5C9" w:rsidR="0040395A" w:rsidRDefault="0040395A" w:rsidP="0040395A">
      <w:pPr>
        <w:spacing w:after="160" w:line="259" w:lineRule="auto"/>
        <w:ind w:firstLine="0"/>
        <w:contextualSpacing w:val="0"/>
        <w:jc w:val="left"/>
        <w:rPr>
          <w:rFonts w:eastAsiaTheme="majorEastAsia" w:cstheme="majorBidi"/>
          <w:b/>
          <w:color w:val="2F5496" w:themeColor="accent5" w:themeShade="BF"/>
          <w:sz w:val="28"/>
          <w:szCs w:val="32"/>
        </w:rPr>
      </w:pPr>
      <w:r>
        <w:t>For individuals who do not have an ALRI infection, the category for ri_secondary_bacterial_pathogen is ‘not_applicable’, as it is at T0. Following a ALRI status as ‘True’, the property updating on secondary bacterial pathogens is set to ‘none’.</w:t>
      </w:r>
      <w:r>
        <w:rPr>
          <w:rFonts w:eastAsiaTheme="majorEastAsia" w:cstheme="majorBidi"/>
          <w:b/>
          <w:color w:val="2F5496" w:themeColor="accent5" w:themeShade="BF"/>
          <w:sz w:val="28"/>
          <w:szCs w:val="32"/>
        </w:rPr>
        <w:br w:type="page"/>
      </w:r>
    </w:p>
    <w:p w14:paraId="7F403065" w14:textId="77777777" w:rsidR="0040395A" w:rsidRDefault="0040395A" w:rsidP="0040395A">
      <w:pPr>
        <w:pStyle w:val="ListParagraph"/>
        <w:numPr>
          <w:ilvl w:val="0"/>
          <w:numId w:val="30"/>
        </w:numPr>
        <w:spacing w:after="0"/>
        <w:jc w:val="left"/>
        <w:sectPr w:rsidR="0040395A" w:rsidSect="007A3E4A">
          <w:pgSz w:w="11906" w:h="16838"/>
          <w:pgMar w:top="720" w:right="720" w:bottom="720" w:left="720" w:header="709" w:footer="709" w:gutter="0"/>
          <w:cols w:space="708"/>
          <w:docGrid w:linePitch="360"/>
        </w:sectPr>
      </w:pPr>
    </w:p>
    <w:p w14:paraId="76E1C64A" w14:textId="7AB4A58E" w:rsidR="0040395A" w:rsidRDefault="0040395A" w:rsidP="0040395A">
      <w:pPr>
        <w:pStyle w:val="ListParagraph"/>
        <w:numPr>
          <w:ilvl w:val="0"/>
          <w:numId w:val="31"/>
        </w:numPr>
        <w:spacing w:after="0"/>
        <w:jc w:val="left"/>
      </w:pPr>
      <w:r>
        <w:lastRenderedPageBreak/>
        <w:t>Updating ALRI complications</w:t>
      </w:r>
    </w:p>
    <w:p w14:paraId="4E80F174" w14:textId="77777777" w:rsidR="0040395A" w:rsidRDefault="0040395A" w:rsidP="0040395A">
      <w:pPr>
        <w:pStyle w:val="ListParagraph"/>
        <w:ind w:firstLine="0"/>
      </w:pPr>
      <w:r>
        <w:t xml:space="preserve">Property name: </w:t>
      </w:r>
      <w:r w:rsidRPr="00E046E2">
        <w:rPr>
          <w:b/>
        </w:rPr>
        <w:t>ri_ALRI_</w:t>
      </w:r>
      <w:r>
        <w:rPr>
          <w:b/>
        </w:rPr>
        <w:t>complications</w:t>
      </w:r>
      <w:r>
        <w:t>. Type: List</w:t>
      </w:r>
    </w:p>
    <w:p w14:paraId="173F49AB" w14:textId="7A1A3846" w:rsidR="0040395A" w:rsidRDefault="0040395A" w:rsidP="0040395A">
      <w:r>
        <w:t>Individuals can have one or multiple complications. At initiation, with no ALRI infections, the ri_ALRI_complications is set as ‘not_applicable’, once the ALRI status is ‘True’, the value is set to ‘none’. Then, based on probability of each disease type developing each complication and progression, the list is updated.</w:t>
      </w:r>
    </w:p>
    <w:p w14:paraId="5AEDBFFA" w14:textId="77777777" w:rsidR="0040395A" w:rsidRDefault="0040395A" w:rsidP="0040395A"/>
    <w:p w14:paraId="71F9D9CB" w14:textId="77777777" w:rsidR="0040395A" w:rsidRDefault="0040395A" w:rsidP="0040395A">
      <w:pPr>
        <w:ind w:firstLine="0"/>
      </w:pPr>
      <w:r>
        <w:rPr>
          <w:noProof/>
          <w:lang w:eastAsia="en-GB"/>
        </w:rPr>
        <w:drawing>
          <wp:inline distT="0" distB="0" distL="0" distR="0" wp14:anchorId="19253530" wp14:editId="43763067">
            <wp:extent cx="9540000" cy="3864382"/>
            <wp:effectExtent l="0" t="0" r="4445" b="3175"/>
            <wp:docPr id="11" name="Picture 11" descr="https://documents.lucid.app/documents/92f0a254-11cd-4f78-bdc7-97c7d3c72109/pages/0_0?a=3740&amp;x=1221&amp;y=800&amp;w=2113&amp;h=877&amp;store=1&amp;accept=image%2F*&amp;auth=LCA%20e0817db18585112dcad87bd6d02ae98f110563c0-ts%3D160985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lucid.app/documents/92f0a254-11cd-4f78-bdc7-97c7d3c72109/pages/0_0?a=3740&amp;x=1221&amp;y=800&amp;w=2113&amp;h=877&amp;store=1&amp;accept=image%2F*&amp;auth=LCA%20e0817db18585112dcad87bd6d02ae98f110563c0-ts%3D1609857471"/>
                    <pic:cNvPicPr>
                      <a:picLocks noChangeAspect="1" noChangeArrowheads="1"/>
                    </pic:cNvPicPr>
                  </pic:nvPicPr>
                  <pic:blipFill rotWithShape="1">
                    <a:blip r:embed="rId22">
                      <a:extLst>
                        <a:ext uri="{28A0092B-C50C-407E-A947-70E740481C1C}">
                          <a14:useLocalDpi xmlns:a14="http://schemas.microsoft.com/office/drawing/2010/main" val="0"/>
                        </a:ext>
                      </a:extLst>
                    </a:blip>
                    <a:srcRect l="4145" t="5703" r="4802" b="5475"/>
                    <a:stretch/>
                  </pic:blipFill>
                  <pic:spPr bwMode="auto">
                    <a:xfrm>
                      <a:off x="0" y="0"/>
                      <a:ext cx="9540000" cy="3864382"/>
                    </a:xfrm>
                    <a:prstGeom prst="rect">
                      <a:avLst/>
                    </a:prstGeom>
                    <a:noFill/>
                    <a:ln>
                      <a:noFill/>
                    </a:ln>
                    <a:extLst>
                      <a:ext uri="{53640926-AAD7-44D8-BBD7-CCE9431645EC}">
                        <a14:shadowObscured xmlns:a14="http://schemas.microsoft.com/office/drawing/2010/main"/>
                      </a:ext>
                    </a:extLst>
                  </pic:spPr>
                </pic:pic>
              </a:graphicData>
            </a:graphic>
          </wp:inline>
        </w:drawing>
      </w:r>
    </w:p>
    <w:p w14:paraId="5FA5773B" w14:textId="69DBEBF8" w:rsidR="0040395A" w:rsidRDefault="0040395A">
      <w:pPr>
        <w:spacing w:after="160" w:line="259" w:lineRule="auto"/>
        <w:ind w:firstLine="0"/>
        <w:contextualSpacing w:val="0"/>
        <w:jc w:val="left"/>
        <w:rPr>
          <w:rFonts w:eastAsiaTheme="majorEastAsia" w:cstheme="majorBidi"/>
          <w:b/>
          <w:color w:val="2F5496" w:themeColor="accent5" w:themeShade="BF"/>
          <w:sz w:val="28"/>
          <w:szCs w:val="32"/>
        </w:rPr>
      </w:pPr>
      <w:r>
        <w:rPr>
          <w:rFonts w:eastAsiaTheme="majorEastAsia" w:cstheme="majorBidi"/>
          <w:b/>
          <w:color w:val="2F5496" w:themeColor="accent5" w:themeShade="BF"/>
          <w:sz w:val="28"/>
          <w:szCs w:val="32"/>
        </w:rPr>
        <w:br w:type="page"/>
      </w:r>
    </w:p>
    <w:p w14:paraId="3B18D1AB" w14:textId="77777777" w:rsidR="0040395A" w:rsidRDefault="0040395A" w:rsidP="009521F1">
      <w:pPr>
        <w:pStyle w:val="Heading1"/>
        <w:sectPr w:rsidR="0040395A" w:rsidSect="0040395A">
          <w:pgSz w:w="16838" w:h="11906" w:orient="landscape"/>
          <w:pgMar w:top="720" w:right="720" w:bottom="720" w:left="720" w:header="709" w:footer="709" w:gutter="0"/>
          <w:cols w:space="708"/>
          <w:docGrid w:linePitch="360"/>
        </w:sectPr>
      </w:pPr>
    </w:p>
    <w:p w14:paraId="679839AE" w14:textId="5C8D7D9D" w:rsidR="00E42E1E" w:rsidRDefault="006570BE" w:rsidP="009521F1">
      <w:pPr>
        <w:pStyle w:val="Heading1"/>
      </w:pPr>
      <w:bookmarkStart w:id="30" w:name="_Toc64288826"/>
      <w:r>
        <w:lastRenderedPageBreak/>
        <w:t>References</w:t>
      </w:r>
      <w:bookmarkEnd w:id="30"/>
    </w:p>
    <w:p w14:paraId="052C4D0E" w14:textId="2AA6D229" w:rsidR="008C02B1" w:rsidRPr="008C02B1" w:rsidRDefault="00E42E1E" w:rsidP="008C02B1">
      <w:pPr>
        <w:widowControl w:val="0"/>
        <w:autoSpaceDE w:val="0"/>
        <w:autoSpaceDN w:val="0"/>
        <w:adjustRightInd w:val="0"/>
        <w:spacing w:line="240" w:lineRule="auto"/>
        <w:ind w:left="640" w:hanging="640"/>
        <w:rPr>
          <w:rFonts w:cs="Arial"/>
          <w:noProof/>
          <w:sz w:val="20"/>
          <w:szCs w:val="24"/>
        </w:rPr>
      </w:pPr>
      <w:r w:rsidRPr="003A2C44">
        <w:rPr>
          <w:rFonts w:cs="Arial"/>
          <w:sz w:val="19"/>
          <w:szCs w:val="19"/>
        </w:rPr>
        <w:fldChar w:fldCharType="begin" w:fldLock="1"/>
      </w:r>
      <w:r w:rsidRPr="003A2C44">
        <w:rPr>
          <w:rFonts w:cs="Arial"/>
          <w:sz w:val="19"/>
          <w:szCs w:val="19"/>
        </w:rPr>
        <w:instrText xml:space="preserve">ADDIN Mendeley Bibliography CSL_BIBLIOGRAPHY </w:instrText>
      </w:r>
      <w:r w:rsidRPr="003A2C44">
        <w:rPr>
          <w:rFonts w:cs="Arial"/>
          <w:sz w:val="19"/>
          <w:szCs w:val="19"/>
        </w:rPr>
        <w:fldChar w:fldCharType="separate"/>
      </w:r>
      <w:r w:rsidR="008C02B1" w:rsidRPr="008C02B1">
        <w:rPr>
          <w:rFonts w:cs="Arial"/>
          <w:noProof/>
          <w:sz w:val="20"/>
          <w:szCs w:val="24"/>
        </w:rPr>
        <w:t>1.</w:t>
      </w:r>
      <w:r w:rsidR="008C02B1" w:rsidRPr="008C02B1">
        <w:rPr>
          <w:rFonts w:cs="Arial"/>
          <w:noProof/>
          <w:sz w:val="20"/>
          <w:szCs w:val="24"/>
        </w:rPr>
        <w:tab/>
        <w:t xml:space="preserve">Liu, L. </w:t>
      </w:r>
      <w:r w:rsidR="008C02B1" w:rsidRPr="008C02B1">
        <w:rPr>
          <w:rFonts w:cs="Arial"/>
          <w:i/>
          <w:iCs/>
          <w:noProof/>
          <w:sz w:val="20"/>
          <w:szCs w:val="24"/>
        </w:rPr>
        <w:t>et al.</w:t>
      </w:r>
      <w:r w:rsidR="008C02B1" w:rsidRPr="008C02B1">
        <w:rPr>
          <w:rFonts w:cs="Arial"/>
          <w:noProof/>
          <w:sz w:val="20"/>
          <w:szCs w:val="24"/>
        </w:rPr>
        <w:t xml:space="preserve"> Global, regional, and national causes of under-5 mortality in 2000–15: an updated systematic analysis with implications for the Sustainable Development Goals. </w:t>
      </w:r>
      <w:r w:rsidR="008C02B1" w:rsidRPr="008C02B1">
        <w:rPr>
          <w:rFonts w:cs="Arial"/>
          <w:i/>
          <w:iCs/>
          <w:noProof/>
          <w:sz w:val="20"/>
          <w:szCs w:val="24"/>
        </w:rPr>
        <w:t>Lancet</w:t>
      </w:r>
      <w:r w:rsidR="008C02B1" w:rsidRPr="008C02B1">
        <w:rPr>
          <w:rFonts w:cs="Arial"/>
          <w:noProof/>
          <w:sz w:val="20"/>
          <w:szCs w:val="24"/>
        </w:rPr>
        <w:t xml:space="preserve"> </w:t>
      </w:r>
      <w:r w:rsidR="008C02B1" w:rsidRPr="008C02B1">
        <w:rPr>
          <w:rFonts w:cs="Arial"/>
          <w:b/>
          <w:bCs/>
          <w:noProof/>
          <w:sz w:val="20"/>
          <w:szCs w:val="24"/>
        </w:rPr>
        <w:t>388</w:t>
      </w:r>
      <w:r w:rsidR="008C02B1" w:rsidRPr="008C02B1">
        <w:rPr>
          <w:rFonts w:cs="Arial"/>
          <w:noProof/>
          <w:sz w:val="20"/>
          <w:szCs w:val="24"/>
        </w:rPr>
        <w:t>, 3027–3035 (2016).</w:t>
      </w:r>
    </w:p>
    <w:p w14:paraId="0F94D812"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2.</w:t>
      </w:r>
      <w:r w:rsidRPr="008C02B1">
        <w:rPr>
          <w:rFonts w:cs="Arial"/>
          <w:noProof/>
          <w:sz w:val="20"/>
          <w:szCs w:val="24"/>
        </w:rPr>
        <w:tab/>
        <w:t xml:space="preserve">Wardlaw, T., Johansson, E. W. &amp; Hodge, M. </w:t>
      </w:r>
      <w:r w:rsidRPr="008C02B1">
        <w:rPr>
          <w:rFonts w:cs="Arial"/>
          <w:i/>
          <w:iCs/>
          <w:noProof/>
          <w:sz w:val="20"/>
          <w:szCs w:val="24"/>
        </w:rPr>
        <w:t>PNEUMONIA THE FORGOTTEN KILLER OF CHILDREN</w:t>
      </w:r>
      <w:r w:rsidRPr="008C02B1">
        <w:rPr>
          <w:rFonts w:cs="Arial"/>
          <w:noProof/>
          <w:sz w:val="20"/>
          <w:szCs w:val="24"/>
        </w:rPr>
        <w:t>. (2006).</w:t>
      </w:r>
    </w:p>
    <w:p w14:paraId="5C31F70A"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3.</w:t>
      </w:r>
      <w:r w:rsidRPr="008C02B1">
        <w:rPr>
          <w:rFonts w:cs="Arial"/>
          <w:noProof/>
          <w:sz w:val="20"/>
          <w:szCs w:val="24"/>
        </w:rPr>
        <w:tab/>
        <w:t xml:space="preserve">Braunwald, E. </w:t>
      </w:r>
      <w:r w:rsidRPr="008C02B1">
        <w:rPr>
          <w:rFonts w:cs="Arial"/>
          <w:i/>
          <w:iCs/>
          <w:noProof/>
          <w:sz w:val="20"/>
          <w:szCs w:val="24"/>
        </w:rPr>
        <w:t>et al.</w:t>
      </w:r>
      <w:r w:rsidRPr="008C02B1">
        <w:rPr>
          <w:rFonts w:cs="Arial"/>
          <w:noProof/>
          <w:sz w:val="20"/>
          <w:szCs w:val="24"/>
        </w:rPr>
        <w:t xml:space="preserve"> </w:t>
      </w:r>
      <w:r w:rsidRPr="008C02B1">
        <w:rPr>
          <w:rFonts w:cs="Arial"/>
          <w:i/>
          <w:iCs/>
          <w:noProof/>
          <w:sz w:val="20"/>
          <w:szCs w:val="24"/>
        </w:rPr>
        <w:t>Harrison’s principles of internal medicine</w:t>
      </w:r>
      <w:r w:rsidRPr="008C02B1">
        <w:rPr>
          <w:rFonts w:cs="Arial"/>
          <w:noProof/>
          <w:sz w:val="20"/>
          <w:szCs w:val="24"/>
        </w:rPr>
        <w:t>. (McGraw Hill, 2001).</w:t>
      </w:r>
    </w:p>
    <w:p w14:paraId="03DF25EF"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4.</w:t>
      </w:r>
      <w:r w:rsidRPr="008C02B1">
        <w:rPr>
          <w:rFonts w:cs="Arial"/>
          <w:noProof/>
          <w:sz w:val="20"/>
          <w:szCs w:val="24"/>
        </w:rPr>
        <w:tab/>
        <w:t xml:space="preserve">Mackenzie, G. The definition and classification of pneumonia. </w:t>
      </w:r>
      <w:r w:rsidRPr="008C02B1">
        <w:rPr>
          <w:rFonts w:cs="Arial"/>
          <w:i/>
          <w:iCs/>
          <w:noProof/>
          <w:sz w:val="20"/>
          <w:szCs w:val="24"/>
        </w:rPr>
        <w:t>Pneumonia</w:t>
      </w:r>
      <w:r w:rsidRPr="008C02B1">
        <w:rPr>
          <w:rFonts w:cs="Arial"/>
          <w:noProof/>
          <w:sz w:val="20"/>
          <w:szCs w:val="24"/>
        </w:rPr>
        <w:t xml:space="preserve"> </w:t>
      </w:r>
      <w:r w:rsidRPr="008C02B1">
        <w:rPr>
          <w:rFonts w:cs="Arial"/>
          <w:b/>
          <w:bCs/>
          <w:noProof/>
          <w:sz w:val="20"/>
          <w:szCs w:val="24"/>
        </w:rPr>
        <w:t>8</w:t>
      </w:r>
      <w:r w:rsidRPr="008C02B1">
        <w:rPr>
          <w:rFonts w:cs="Arial"/>
          <w:noProof/>
          <w:sz w:val="20"/>
          <w:szCs w:val="24"/>
        </w:rPr>
        <w:t>, 14 (2016).</w:t>
      </w:r>
    </w:p>
    <w:p w14:paraId="22BEF980"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5.</w:t>
      </w:r>
      <w:r w:rsidRPr="008C02B1">
        <w:rPr>
          <w:rFonts w:cs="Arial"/>
          <w:noProof/>
          <w:sz w:val="20"/>
          <w:szCs w:val="24"/>
        </w:rPr>
        <w:tab/>
        <w:t xml:space="preserve">Feikin, D. R. </w:t>
      </w:r>
      <w:r w:rsidRPr="008C02B1">
        <w:rPr>
          <w:rFonts w:cs="Arial"/>
          <w:i/>
          <w:iCs/>
          <w:noProof/>
          <w:sz w:val="20"/>
          <w:szCs w:val="24"/>
        </w:rPr>
        <w:t>et al.</w:t>
      </w:r>
      <w:r w:rsidRPr="008C02B1">
        <w:rPr>
          <w:rFonts w:cs="Arial"/>
          <w:noProof/>
          <w:sz w:val="20"/>
          <w:szCs w:val="24"/>
        </w:rPr>
        <w:t xml:space="preserve"> The Enduring Challenge of Determining Pneumonia Etiology in Children: Considerations for Future Research Priorities. </w:t>
      </w:r>
      <w:r w:rsidRPr="008C02B1">
        <w:rPr>
          <w:rFonts w:cs="Arial"/>
          <w:i/>
          <w:iCs/>
          <w:noProof/>
          <w:sz w:val="20"/>
          <w:szCs w:val="24"/>
        </w:rPr>
        <w:t>Clin. Infect. Dis.</w:t>
      </w:r>
      <w:r w:rsidRPr="008C02B1">
        <w:rPr>
          <w:rFonts w:cs="Arial"/>
          <w:noProof/>
          <w:sz w:val="20"/>
          <w:szCs w:val="24"/>
        </w:rPr>
        <w:t xml:space="preserve"> (2017). doi:10.1093/cid/cix143</w:t>
      </w:r>
    </w:p>
    <w:p w14:paraId="13765568"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6.</w:t>
      </w:r>
      <w:r w:rsidRPr="008C02B1">
        <w:rPr>
          <w:rFonts w:cs="Arial"/>
          <w:noProof/>
          <w:sz w:val="20"/>
          <w:szCs w:val="24"/>
        </w:rPr>
        <w:tab/>
        <w:t xml:space="preserve">Berti, E., Galli, L., De Martino, M. &amp; Chiappini, E. International guidelines on tackling community-acquired pneumonia show major discrepancies between developed and developing countries. </w:t>
      </w:r>
      <w:r w:rsidRPr="008C02B1">
        <w:rPr>
          <w:rFonts w:cs="Arial"/>
          <w:i/>
          <w:iCs/>
          <w:noProof/>
          <w:sz w:val="20"/>
          <w:szCs w:val="24"/>
        </w:rPr>
        <w:t>Acta Paediatr. Int. J. Paediatr.</w:t>
      </w:r>
      <w:r w:rsidRPr="008C02B1">
        <w:rPr>
          <w:rFonts w:cs="Arial"/>
          <w:noProof/>
          <w:sz w:val="20"/>
          <w:szCs w:val="24"/>
        </w:rPr>
        <w:t xml:space="preserve"> </w:t>
      </w:r>
      <w:r w:rsidRPr="008C02B1">
        <w:rPr>
          <w:rFonts w:cs="Arial"/>
          <w:b/>
          <w:bCs/>
          <w:noProof/>
          <w:sz w:val="20"/>
          <w:szCs w:val="24"/>
        </w:rPr>
        <w:t>102</w:t>
      </w:r>
      <w:r w:rsidRPr="008C02B1">
        <w:rPr>
          <w:rFonts w:cs="Arial"/>
          <w:noProof/>
          <w:sz w:val="20"/>
          <w:szCs w:val="24"/>
        </w:rPr>
        <w:t>, 4–16 (2013).</w:t>
      </w:r>
    </w:p>
    <w:p w14:paraId="3DB72935"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7.</w:t>
      </w:r>
      <w:r w:rsidRPr="008C02B1">
        <w:rPr>
          <w:rFonts w:cs="Arial"/>
          <w:noProof/>
          <w:sz w:val="20"/>
          <w:szCs w:val="24"/>
        </w:rPr>
        <w:tab/>
        <w:t xml:space="preserve">Rylance, J. &amp; Waitt, P. Pneumonia severity scores in resource poor settings. </w:t>
      </w:r>
      <w:r w:rsidRPr="008C02B1">
        <w:rPr>
          <w:rFonts w:cs="Arial"/>
          <w:i/>
          <w:iCs/>
          <w:noProof/>
          <w:sz w:val="20"/>
          <w:szCs w:val="24"/>
        </w:rPr>
        <w:t>Pneumonia</w:t>
      </w:r>
      <w:r w:rsidRPr="008C02B1">
        <w:rPr>
          <w:rFonts w:cs="Arial"/>
          <w:noProof/>
          <w:sz w:val="20"/>
          <w:szCs w:val="24"/>
        </w:rPr>
        <w:t xml:space="preserve"> </w:t>
      </w:r>
      <w:r w:rsidRPr="008C02B1">
        <w:rPr>
          <w:rFonts w:cs="Arial"/>
          <w:b/>
          <w:bCs/>
          <w:noProof/>
          <w:sz w:val="20"/>
          <w:szCs w:val="24"/>
        </w:rPr>
        <w:t>5</w:t>
      </w:r>
      <w:r w:rsidRPr="008C02B1">
        <w:rPr>
          <w:rFonts w:cs="Arial"/>
          <w:noProof/>
          <w:sz w:val="20"/>
          <w:szCs w:val="24"/>
        </w:rPr>
        <w:t>, 30–37 (2014).</w:t>
      </w:r>
    </w:p>
    <w:p w14:paraId="36B4B976"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8.</w:t>
      </w:r>
      <w:r w:rsidRPr="008C02B1">
        <w:rPr>
          <w:rFonts w:cs="Arial"/>
          <w:noProof/>
          <w:sz w:val="20"/>
          <w:szCs w:val="24"/>
        </w:rPr>
        <w:tab/>
        <w:t xml:space="preserve">Rudan, I., Tomaskovic, L., Boschi-Pinto, C. &amp; Campbell, H. Global estimate of the incidence of clinical pneumonia among children under five years of age. </w:t>
      </w:r>
      <w:r w:rsidRPr="008C02B1">
        <w:rPr>
          <w:rFonts w:cs="Arial"/>
          <w:i/>
          <w:iCs/>
          <w:noProof/>
          <w:sz w:val="20"/>
          <w:szCs w:val="24"/>
        </w:rPr>
        <w:t>Bull. World Health Organ.</w:t>
      </w:r>
      <w:r w:rsidRPr="008C02B1">
        <w:rPr>
          <w:rFonts w:cs="Arial"/>
          <w:noProof/>
          <w:sz w:val="20"/>
          <w:szCs w:val="24"/>
        </w:rPr>
        <w:t xml:space="preserve"> </w:t>
      </w:r>
      <w:r w:rsidRPr="008C02B1">
        <w:rPr>
          <w:rFonts w:cs="Arial"/>
          <w:b/>
          <w:bCs/>
          <w:noProof/>
          <w:sz w:val="20"/>
          <w:szCs w:val="24"/>
        </w:rPr>
        <w:t>82</w:t>
      </w:r>
      <w:r w:rsidRPr="008C02B1">
        <w:rPr>
          <w:rFonts w:cs="Arial"/>
          <w:noProof/>
          <w:sz w:val="20"/>
          <w:szCs w:val="24"/>
        </w:rPr>
        <w:t>, 895–903 (2004).</w:t>
      </w:r>
    </w:p>
    <w:p w14:paraId="4E3BAA39"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9.</w:t>
      </w:r>
      <w:r w:rsidRPr="008C02B1">
        <w:rPr>
          <w:rFonts w:cs="Arial"/>
          <w:noProof/>
          <w:sz w:val="20"/>
          <w:szCs w:val="24"/>
        </w:rPr>
        <w:tab/>
        <w:t xml:space="preserve">Duke, T. What the PERCH study means for future pneumonia strategies. </w:t>
      </w:r>
      <w:r w:rsidRPr="008C02B1">
        <w:rPr>
          <w:rFonts w:cs="Arial"/>
          <w:i/>
          <w:iCs/>
          <w:noProof/>
          <w:sz w:val="20"/>
          <w:szCs w:val="24"/>
        </w:rPr>
        <w:t>The Lancet</w:t>
      </w:r>
      <w:r w:rsidRPr="008C02B1">
        <w:rPr>
          <w:rFonts w:cs="Arial"/>
          <w:noProof/>
          <w:sz w:val="20"/>
          <w:szCs w:val="24"/>
        </w:rPr>
        <w:t xml:space="preserve"> </w:t>
      </w:r>
      <w:r w:rsidRPr="008C02B1">
        <w:rPr>
          <w:rFonts w:cs="Arial"/>
          <w:b/>
          <w:bCs/>
          <w:noProof/>
          <w:sz w:val="20"/>
          <w:szCs w:val="24"/>
        </w:rPr>
        <w:t>394</w:t>
      </w:r>
      <w:r w:rsidRPr="008C02B1">
        <w:rPr>
          <w:rFonts w:cs="Arial"/>
          <w:noProof/>
          <w:sz w:val="20"/>
          <w:szCs w:val="24"/>
        </w:rPr>
        <w:t>, 714–716 (2019).</w:t>
      </w:r>
    </w:p>
    <w:p w14:paraId="61FE3C0C"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10.</w:t>
      </w:r>
      <w:r w:rsidRPr="008C02B1">
        <w:rPr>
          <w:rFonts w:cs="Arial"/>
          <w:noProof/>
          <w:sz w:val="20"/>
          <w:szCs w:val="24"/>
        </w:rPr>
        <w:tab/>
        <w:t xml:space="preserve">O, K. L. </w:t>
      </w:r>
      <w:r w:rsidRPr="008C02B1">
        <w:rPr>
          <w:rFonts w:cs="Arial"/>
          <w:i/>
          <w:iCs/>
          <w:noProof/>
          <w:sz w:val="20"/>
          <w:szCs w:val="24"/>
        </w:rPr>
        <w:t>et al.</w:t>
      </w:r>
      <w:r w:rsidRPr="008C02B1">
        <w:rPr>
          <w:rFonts w:cs="Arial"/>
          <w:noProof/>
          <w:sz w:val="20"/>
          <w:szCs w:val="24"/>
        </w:rPr>
        <w:t xml:space="preserve"> Articles Causes of severe pneumonia requiring hospital admission in children without HIV infection from Africa and Asia: the PERCH multi-country case-control study. (2019). doi:10.1016/S0140-6736(19)30721-4</w:t>
      </w:r>
    </w:p>
    <w:p w14:paraId="71529569"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11.</w:t>
      </w:r>
      <w:r w:rsidRPr="008C02B1">
        <w:rPr>
          <w:rFonts w:cs="Arial"/>
          <w:noProof/>
          <w:sz w:val="20"/>
          <w:szCs w:val="24"/>
        </w:rPr>
        <w:tab/>
        <w:t xml:space="preserve">Walker, C. L. F. </w:t>
      </w:r>
      <w:r w:rsidRPr="008C02B1">
        <w:rPr>
          <w:rFonts w:cs="Arial"/>
          <w:i/>
          <w:iCs/>
          <w:noProof/>
          <w:sz w:val="20"/>
          <w:szCs w:val="24"/>
        </w:rPr>
        <w:t>et al.</w:t>
      </w:r>
      <w:r w:rsidRPr="008C02B1">
        <w:rPr>
          <w:rFonts w:cs="Arial"/>
          <w:noProof/>
          <w:sz w:val="20"/>
          <w:szCs w:val="24"/>
        </w:rPr>
        <w:t xml:space="preserve"> Global burden of childhood pneumonia and diarrhoea. </w:t>
      </w:r>
      <w:r w:rsidRPr="008C02B1">
        <w:rPr>
          <w:rFonts w:cs="Arial"/>
          <w:i/>
          <w:iCs/>
          <w:noProof/>
          <w:sz w:val="20"/>
          <w:szCs w:val="24"/>
        </w:rPr>
        <w:t>Lancet (London, England)</w:t>
      </w:r>
      <w:r w:rsidRPr="008C02B1">
        <w:rPr>
          <w:rFonts w:cs="Arial"/>
          <w:noProof/>
          <w:sz w:val="20"/>
          <w:szCs w:val="24"/>
        </w:rPr>
        <w:t xml:space="preserve"> </w:t>
      </w:r>
      <w:r w:rsidRPr="008C02B1">
        <w:rPr>
          <w:rFonts w:cs="Arial"/>
          <w:b/>
          <w:bCs/>
          <w:noProof/>
          <w:sz w:val="20"/>
          <w:szCs w:val="24"/>
        </w:rPr>
        <w:t>381</w:t>
      </w:r>
      <w:r w:rsidRPr="008C02B1">
        <w:rPr>
          <w:rFonts w:cs="Arial"/>
          <w:noProof/>
          <w:sz w:val="20"/>
          <w:szCs w:val="24"/>
        </w:rPr>
        <w:t>, 1405–1416 (2013).</w:t>
      </w:r>
    </w:p>
    <w:p w14:paraId="083AE36B"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12.</w:t>
      </w:r>
      <w:r w:rsidRPr="008C02B1">
        <w:rPr>
          <w:rFonts w:cs="Arial"/>
          <w:noProof/>
          <w:sz w:val="20"/>
          <w:szCs w:val="24"/>
        </w:rPr>
        <w:tab/>
        <w:t xml:space="preserve">Jackson, S. </w:t>
      </w:r>
      <w:r w:rsidRPr="008C02B1">
        <w:rPr>
          <w:rFonts w:cs="Arial"/>
          <w:i/>
          <w:iCs/>
          <w:noProof/>
          <w:sz w:val="20"/>
          <w:szCs w:val="24"/>
        </w:rPr>
        <w:t>et al.</w:t>
      </w:r>
      <w:r w:rsidRPr="008C02B1">
        <w:rPr>
          <w:rFonts w:cs="Arial"/>
          <w:noProof/>
          <w:sz w:val="20"/>
          <w:szCs w:val="24"/>
        </w:rPr>
        <w:t xml:space="preserve"> Risk factors for severe acute lower respiratory infections in children - a systematic review and meta-analysis. </w:t>
      </w:r>
      <w:r w:rsidRPr="008C02B1">
        <w:rPr>
          <w:rFonts w:cs="Arial"/>
          <w:i/>
          <w:iCs/>
          <w:noProof/>
          <w:sz w:val="20"/>
          <w:szCs w:val="24"/>
        </w:rPr>
        <w:t>Croat. Med. J.</w:t>
      </w:r>
      <w:r w:rsidRPr="008C02B1">
        <w:rPr>
          <w:rFonts w:cs="Arial"/>
          <w:noProof/>
          <w:sz w:val="20"/>
          <w:szCs w:val="24"/>
        </w:rPr>
        <w:t xml:space="preserve"> </w:t>
      </w:r>
      <w:r w:rsidRPr="008C02B1">
        <w:rPr>
          <w:rFonts w:cs="Arial"/>
          <w:b/>
          <w:bCs/>
          <w:noProof/>
          <w:sz w:val="20"/>
          <w:szCs w:val="24"/>
        </w:rPr>
        <w:t>54</w:t>
      </w:r>
      <w:r w:rsidRPr="008C02B1">
        <w:rPr>
          <w:rFonts w:cs="Arial"/>
          <w:noProof/>
          <w:sz w:val="20"/>
          <w:szCs w:val="24"/>
        </w:rPr>
        <w:t>, 110–121 (2013).</w:t>
      </w:r>
    </w:p>
    <w:p w14:paraId="56334687"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13.</w:t>
      </w:r>
      <w:r w:rsidRPr="008C02B1">
        <w:rPr>
          <w:rFonts w:cs="Arial"/>
          <w:noProof/>
          <w:sz w:val="20"/>
          <w:szCs w:val="24"/>
        </w:rPr>
        <w:tab/>
        <w:t xml:space="preserve">McCollum, E. D. </w:t>
      </w:r>
      <w:r w:rsidRPr="008C02B1">
        <w:rPr>
          <w:rFonts w:cs="Arial"/>
          <w:i/>
          <w:iCs/>
          <w:noProof/>
          <w:sz w:val="20"/>
          <w:szCs w:val="24"/>
        </w:rPr>
        <w:t>et al.</w:t>
      </w:r>
      <w:r w:rsidRPr="008C02B1">
        <w:rPr>
          <w:rFonts w:cs="Arial"/>
          <w:noProof/>
          <w:sz w:val="20"/>
          <w:szCs w:val="24"/>
        </w:rPr>
        <w:t xml:space="preserve"> Impact of the 13-Valent Pneumococcal Conjugate Vaccine on Clinical and Hypoxemic Childhood Pneumonia over Three Years in Central Malawi: An Observational Study. </w:t>
      </w:r>
      <w:r w:rsidRPr="008C02B1">
        <w:rPr>
          <w:rFonts w:cs="Arial"/>
          <w:i/>
          <w:iCs/>
          <w:noProof/>
          <w:sz w:val="20"/>
          <w:szCs w:val="24"/>
        </w:rPr>
        <w:t>PLoS One</w:t>
      </w:r>
      <w:r w:rsidRPr="008C02B1">
        <w:rPr>
          <w:rFonts w:cs="Arial"/>
          <w:noProof/>
          <w:sz w:val="20"/>
          <w:szCs w:val="24"/>
        </w:rPr>
        <w:t xml:space="preserve"> </w:t>
      </w:r>
      <w:r w:rsidRPr="008C02B1">
        <w:rPr>
          <w:rFonts w:cs="Arial"/>
          <w:b/>
          <w:bCs/>
          <w:noProof/>
          <w:sz w:val="20"/>
          <w:szCs w:val="24"/>
        </w:rPr>
        <w:t>12</w:t>
      </w:r>
      <w:r w:rsidRPr="008C02B1">
        <w:rPr>
          <w:rFonts w:cs="Arial"/>
          <w:noProof/>
          <w:sz w:val="20"/>
          <w:szCs w:val="24"/>
        </w:rPr>
        <w:t>, e0168209 (2017).</w:t>
      </w:r>
    </w:p>
    <w:p w14:paraId="08258DE6"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14.</w:t>
      </w:r>
      <w:r w:rsidRPr="008C02B1">
        <w:rPr>
          <w:rFonts w:cs="Arial"/>
          <w:noProof/>
          <w:sz w:val="20"/>
          <w:szCs w:val="24"/>
        </w:rPr>
        <w:tab/>
        <w:t xml:space="preserve">O’Grady, K.-A. F., Torzillo, P. J., Frawley, K. &amp; Chang, A. B. The radiological diagnosis of pneumonia in children. </w:t>
      </w:r>
      <w:r w:rsidRPr="008C02B1">
        <w:rPr>
          <w:rFonts w:cs="Arial"/>
          <w:i/>
          <w:iCs/>
          <w:noProof/>
          <w:sz w:val="20"/>
          <w:szCs w:val="24"/>
        </w:rPr>
        <w:t>Pneumonia 2014 51</w:t>
      </w:r>
      <w:r w:rsidRPr="008C02B1">
        <w:rPr>
          <w:rFonts w:cs="Arial"/>
          <w:noProof/>
          <w:sz w:val="20"/>
          <w:szCs w:val="24"/>
        </w:rPr>
        <w:t xml:space="preserve"> </w:t>
      </w:r>
      <w:r w:rsidRPr="008C02B1">
        <w:rPr>
          <w:rFonts w:cs="Arial"/>
          <w:b/>
          <w:bCs/>
          <w:noProof/>
          <w:sz w:val="20"/>
          <w:szCs w:val="24"/>
        </w:rPr>
        <w:t>5</w:t>
      </w:r>
      <w:r w:rsidRPr="008C02B1">
        <w:rPr>
          <w:rFonts w:cs="Arial"/>
          <w:noProof/>
          <w:sz w:val="20"/>
          <w:szCs w:val="24"/>
        </w:rPr>
        <w:t>, 38–51 (2014).</w:t>
      </w:r>
    </w:p>
    <w:p w14:paraId="23C176C4"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15.</w:t>
      </w:r>
      <w:r w:rsidRPr="008C02B1">
        <w:rPr>
          <w:rFonts w:cs="Arial"/>
          <w:noProof/>
          <w:sz w:val="20"/>
          <w:szCs w:val="24"/>
        </w:rPr>
        <w:tab/>
        <w:t xml:space="preserve">Lipsett, S. C., Monuteaux, M. C., Bachur, R. G., Finn, N. &amp; Neuman, M. I. Negative Chest Radiography and Risk of Pneumonia. </w:t>
      </w:r>
      <w:r w:rsidRPr="008C02B1">
        <w:rPr>
          <w:rFonts w:cs="Arial"/>
          <w:i/>
          <w:iCs/>
          <w:noProof/>
          <w:sz w:val="20"/>
          <w:szCs w:val="24"/>
        </w:rPr>
        <w:t>Pediatrics</w:t>
      </w:r>
      <w:r w:rsidRPr="008C02B1">
        <w:rPr>
          <w:rFonts w:cs="Arial"/>
          <w:noProof/>
          <w:sz w:val="20"/>
          <w:szCs w:val="24"/>
        </w:rPr>
        <w:t xml:space="preserve"> </w:t>
      </w:r>
      <w:r w:rsidRPr="008C02B1">
        <w:rPr>
          <w:rFonts w:cs="Arial"/>
          <w:b/>
          <w:bCs/>
          <w:noProof/>
          <w:sz w:val="20"/>
          <w:szCs w:val="24"/>
        </w:rPr>
        <w:t>142</w:t>
      </w:r>
      <w:r w:rsidRPr="008C02B1">
        <w:rPr>
          <w:rFonts w:cs="Arial"/>
          <w:noProof/>
          <w:sz w:val="20"/>
          <w:szCs w:val="24"/>
        </w:rPr>
        <w:t>, (2018).</w:t>
      </w:r>
    </w:p>
    <w:p w14:paraId="4FF5F83F"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16.</w:t>
      </w:r>
      <w:r w:rsidRPr="008C02B1">
        <w:rPr>
          <w:rFonts w:cs="Arial"/>
          <w:noProof/>
          <w:sz w:val="20"/>
          <w:szCs w:val="24"/>
        </w:rPr>
        <w:tab/>
        <w:t xml:space="preserve">Begom, A. </w:t>
      </w:r>
      <w:r w:rsidRPr="008C02B1">
        <w:rPr>
          <w:rFonts w:cs="Arial"/>
          <w:i/>
          <w:iCs/>
          <w:noProof/>
          <w:sz w:val="20"/>
          <w:szCs w:val="24"/>
        </w:rPr>
        <w:t>et al.</w:t>
      </w:r>
      <w:r w:rsidRPr="008C02B1">
        <w:rPr>
          <w:rFonts w:cs="Arial"/>
          <w:noProof/>
          <w:sz w:val="20"/>
          <w:szCs w:val="24"/>
        </w:rPr>
        <w:t xml:space="preserve"> Clinical and Radiological Evaluation of Children Aged 2 Months to 5 Years with Severe Pneumonia According to WHO Guideline. </w:t>
      </w:r>
      <w:r w:rsidRPr="008C02B1">
        <w:rPr>
          <w:rFonts w:cs="Arial"/>
          <w:i/>
          <w:iCs/>
          <w:noProof/>
          <w:sz w:val="20"/>
          <w:szCs w:val="24"/>
        </w:rPr>
        <w:t>Mymensingh Med. J.</w:t>
      </w:r>
      <w:r w:rsidRPr="008C02B1">
        <w:rPr>
          <w:rFonts w:cs="Arial"/>
          <w:noProof/>
          <w:sz w:val="20"/>
          <w:szCs w:val="24"/>
        </w:rPr>
        <w:t xml:space="preserve"> </w:t>
      </w:r>
      <w:r w:rsidRPr="008C02B1">
        <w:rPr>
          <w:rFonts w:cs="Arial"/>
          <w:b/>
          <w:bCs/>
          <w:noProof/>
          <w:sz w:val="20"/>
          <w:szCs w:val="24"/>
        </w:rPr>
        <w:t>27</w:t>
      </w:r>
      <w:r w:rsidRPr="008C02B1">
        <w:rPr>
          <w:rFonts w:cs="Arial"/>
          <w:noProof/>
          <w:sz w:val="20"/>
          <w:szCs w:val="24"/>
        </w:rPr>
        <w:t>, 702–709 (2018).</w:t>
      </w:r>
    </w:p>
    <w:p w14:paraId="2A4167D3"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17.</w:t>
      </w:r>
      <w:r w:rsidRPr="008C02B1">
        <w:rPr>
          <w:rFonts w:cs="Arial"/>
          <w:noProof/>
          <w:sz w:val="20"/>
          <w:szCs w:val="24"/>
        </w:rPr>
        <w:tab/>
        <w:t xml:space="preserve">Hazir, T. </w:t>
      </w:r>
      <w:r w:rsidRPr="008C02B1">
        <w:rPr>
          <w:rFonts w:cs="Arial"/>
          <w:i/>
          <w:iCs/>
          <w:noProof/>
          <w:sz w:val="20"/>
          <w:szCs w:val="24"/>
        </w:rPr>
        <w:t>et al.</w:t>
      </w:r>
      <w:r w:rsidRPr="008C02B1">
        <w:rPr>
          <w:rFonts w:cs="Arial"/>
          <w:noProof/>
          <w:sz w:val="20"/>
          <w:szCs w:val="24"/>
        </w:rPr>
        <w:t xml:space="preserve"> Chest radiography in children aged 2-59 months diagnosed with non-severe pneumonia as defined by World Health Organization: Descriptive multicentre study in Pakistan. </w:t>
      </w:r>
      <w:r w:rsidRPr="008C02B1">
        <w:rPr>
          <w:rFonts w:cs="Arial"/>
          <w:i/>
          <w:iCs/>
          <w:noProof/>
          <w:sz w:val="20"/>
          <w:szCs w:val="24"/>
        </w:rPr>
        <w:t>Br. Med. J.</w:t>
      </w:r>
      <w:r w:rsidRPr="008C02B1">
        <w:rPr>
          <w:rFonts w:cs="Arial"/>
          <w:noProof/>
          <w:sz w:val="20"/>
          <w:szCs w:val="24"/>
        </w:rPr>
        <w:t xml:space="preserve"> </w:t>
      </w:r>
      <w:r w:rsidRPr="008C02B1">
        <w:rPr>
          <w:rFonts w:cs="Arial"/>
          <w:b/>
          <w:bCs/>
          <w:noProof/>
          <w:sz w:val="20"/>
          <w:szCs w:val="24"/>
        </w:rPr>
        <w:t>333</w:t>
      </w:r>
      <w:r w:rsidRPr="008C02B1">
        <w:rPr>
          <w:rFonts w:cs="Arial"/>
          <w:noProof/>
          <w:sz w:val="20"/>
          <w:szCs w:val="24"/>
        </w:rPr>
        <w:t>, 629–631 (2006).</w:t>
      </w:r>
    </w:p>
    <w:p w14:paraId="2A38C273"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18.</w:t>
      </w:r>
      <w:r w:rsidRPr="008C02B1">
        <w:rPr>
          <w:rFonts w:cs="Arial"/>
          <w:noProof/>
          <w:sz w:val="20"/>
          <w:szCs w:val="24"/>
        </w:rPr>
        <w:tab/>
        <w:t xml:space="preserve">Balk, D. S. </w:t>
      </w:r>
      <w:r w:rsidRPr="008C02B1">
        <w:rPr>
          <w:rFonts w:cs="Arial"/>
          <w:i/>
          <w:iCs/>
          <w:noProof/>
          <w:sz w:val="20"/>
          <w:szCs w:val="24"/>
        </w:rPr>
        <w:t>et al.</w:t>
      </w:r>
      <w:r w:rsidRPr="008C02B1">
        <w:rPr>
          <w:rFonts w:cs="Arial"/>
          <w:noProof/>
          <w:sz w:val="20"/>
          <w:szCs w:val="24"/>
        </w:rPr>
        <w:t xml:space="preserve"> Lung ultrasound compared to chest X-ray for diagnosis of pediatric pneumonia: A meta-analysis. </w:t>
      </w:r>
      <w:r w:rsidRPr="008C02B1">
        <w:rPr>
          <w:rFonts w:cs="Arial"/>
          <w:i/>
          <w:iCs/>
          <w:noProof/>
          <w:sz w:val="20"/>
          <w:szCs w:val="24"/>
        </w:rPr>
        <w:t>Pediatr. Pulmonol.</w:t>
      </w:r>
      <w:r w:rsidRPr="008C02B1">
        <w:rPr>
          <w:rFonts w:cs="Arial"/>
          <w:noProof/>
          <w:sz w:val="20"/>
          <w:szCs w:val="24"/>
        </w:rPr>
        <w:t xml:space="preserve"> </w:t>
      </w:r>
      <w:r w:rsidRPr="008C02B1">
        <w:rPr>
          <w:rFonts w:cs="Arial"/>
          <w:b/>
          <w:bCs/>
          <w:noProof/>
          <w:sz w:val="20"/>
          <w:szCs w:val="24"/>
        </w:rPr>
        <w:t>53</w:t>
      </w:r>
      <w:r w:rsidRPr="008C02B1">
        <w:rPr>
          <w:rFonts w:cs="Arial"/>
          <w:noProof/>
          <w:sz w:val="20"/>
          <w:szCs w:val="24"/>
        </w:rPr>
        <w:t>, 1130–1139 (2018).</w:t>
      </w:r>
    </w:p>
    <w:p w14:paraId="5E88837A"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19.</w:t>
      </w:r>
      <w:r w:rsidRPr="008C02B1">
        <w:rPr>
          <w:rFonts w:cs="Arial"/>
          <w:noProof/>
          <w:sz w:val="20"/>
          <w:szCs w:val="24"/>
        </w:rPr>
        <w:tab/>
        <w:t xml:space="preserve">Meissner, H. C. Viral Bronchiolitis in Children. </w:t>
      </w:r>
      <w:r w:rsidRPr="008C02B1">
        <w:rPr>
          <w:rFonts w:cs="Arial"/>
          <w:i/>
          <w:iCs/>
          <w:noProof/>
          <w:sz w:val="20"/>
          <w:szCs w:val="24"/>
        </w:rPr>
        <w:t>N. Engl. J. Med.</w:t>
      </w:r>
      <w:r w:rsidRPr="008C02B1">
        <w:rPr>
          <w:rFonts w:cs="Arial"/>
          <w:noProof/>
          <w:sz w:val="20"/>
          <w:szCs w:val="24"/>
        </w:rPr>
        <w:t xml:space="preserve"> </w:t>
      </w:r>
      <w:r w:rsidRPr="008C02B1">
        <w:rPr>
          <w:rFonts w:cs="Arial"/>
          <w:b/>
          <w:bCs/>
          <w:noProof/>
          <w:sz w:val="20"/>
          <w:szCs w:val="24"/>
        </w:rPr>
        <w:t>374</w:t>
      </w:r>
      <w:r w:rsidRPr="008C02B1">
        <w:rPr>
          <w:rFonts w:cs="Arial"/>
          <w:noProof/>
          <w:sz w:val="20"/>
          <w:szCs w:val="24"/>
        </w:rPr>
        <w:t>, 62–72 (2016).</w:t>
      </w:r>
    </w:p>
    <w:p w14:paraId="3628C706"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20.</w:t>
      </w:r>
      <w:r w:rsidRPr="008C02B1">
        <w:rPr>
          <w:rFonts w:cs="Arial"/>
          <w:noProof/>
          <w:sz w:val="20"/>
          <w:szCs w:val="24"/>
        </w:rPr>
        <w:tab/>
        <w:t xml:space="preserve">Piedimonte, G. &amp; Perez, M. K. Respiratory syncytial virus infection and bronchiolitis. </w:t>
      </w:r>
      <w:r w:rsidRPr="008C02B1">
        <w:rPr>
          <w:rFonts w:cs="Arial"/>
          <w:i/>
          <w:iCs/>
          <w:noProof/>
          <w:sz w:val="20"/>
          <w:szCs w:val="24"/>
        </w:rPr>
        <w:t>Pediatr. Rev.</w:t>
      </w:r>
      <w:r w:rsidRPr="008C02B1">
        <w:rPr>
          <w:rFonts w:cs="Arial"/>
          <w:noProof/>
          <w:sz w:val="20"/>
          <w:szCs w:val="24"/>
        </w:rPr>
        <w:t xml:space="preserve"> </w:t>
      </w:r>
      <w:r w:rsidRPr="008C02B1">
        <w:rPr>
          <w:rFonts w:cs="Arial"/>
          <w:b/>
          <w:bCs/>
          <w:noProof/>
          <w:sz w:val="20"/>
          <w:szCs w:val="24"/>
        </w:rPr>
        <w:t>35</w:t>
      </w:r>
      <w:r w:rsidRPr="008C02B1">
        <w:rPr>
          <w:rFonts w:cs="Arial"/>
          <w:noProof/>
          <w:sz w:val="20"/>
          <w:szCs w:val="24"/>
        </w:rPr>
        <w:t>, 519–530 (2014).</w:t>
      </w:r>
    </w:p>
    <w:p w14:paraId="5567F3A4"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21.</w:t>
      </w:r>
      <w:r w:rsidRPr="008C02B1">
        <w:rPr>
          <w:rFonts w:cs="Arial"/>
          <w:noProof/>
          <w:sz w:val="20"/>
          <w:szCs w:val="24"/>
        </w:rPr>
        <w:tab/>
        <w:t xml:space="preserve">Napierkowski, D. B. Diagnosing and treating respiratory syncytial virus bronchiolitis. </w:t>
      </w:r>
      <w:r w:rsidRPr="008C02B1">
        <w:rPr>
          <w:rFonts w:cs="Arial"/>
          <w:i/>
          <w:iCs/>
          <w:noProof/>
          <w:sz w:val="20"/>
          <w:szCs w:val="24"/>
        </w:rPr>
        <w:t>Nurse Pract.</w:t>
      </w:r>
      <w:r w:rsidRPr="008C02B1">
        <w:rPr>
          <w:rFonts w:cs="Arial"/>
          <w:noProof/>
          <w:sz w:val="20"/>
          <w:szCs w:val="24"/>
        </w:rPr>
        <w:t xml:space="preserve"> </w:t>
      </w:r>
      <w:r w:rsidRPr="008C02B1">
        <w:rPr>
          <w:rFonts w:cs="Arial"/>
          <w:b/>
          <w:bCs/>
          <w:noProof/>
          <w:sz w:val="20"/>
          <w:szCs w:val="24"/>
        </w:rPr>
        <w:t>41</w:t>
      </w:r>
      <w:r w:rsidRPr="008C02B1">
        <w:rPr>
          <w:rFonts w:cs="Arial"/>
          <w:noProof/>
          <w:sz w:val="20"/>
          <w:szCs w:val="24"/>
        </w:rPr>
        <w:t>, 1–4 (2016).</w:t>
      </w:r>
    </w:p>
    <w:p w14:paraId="0FFAB8D7"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22.</w:t>
      </w:r>
      <w:r w:rsidRPr="008C02B1">
        <w:rPr>
          <w:rFonts w:cs="Arial"/>
          <w:noProof/>
          <w:sz w:val="20"/>
          <w:szCs w:val="24"/>
        </w:rPr>
        <w:tab/>
        <w:t xml:space="preserve">Quinton, L. J., Walkey, A. J. &amp; Mizgerd, J. P. Integrative physiology of pneumonia. </w:t>
      </w:r>
      <w:r w:rsidRPr="008C02B1">
        <w:rPr>
          <w:rFonts w:cs="Arial"/>
          <w:i/>
          <w:iCs/>
          <w:noProof/>
          <w:sz w:val="20"/>
          <w:szCs w:val="24"/>
        </w:rPr>
        <w:t>Physiol. Rev.</w:t>
      </w:r>
      <w:r w:rsidRPr="008C02B1">
        <w:rPr>
          <w:rFonts w:cs="Arial"/>
          <w:noProof/>
          <w:sz w:val="20"/>
          <w:szCs w:val="24"/>
        </w:rPr>
        <w:t xml:space="preserve"> </w:t>
      </w:r>
      <w:r w:rsidRPr="008C02B1">
        <w:rPr>
          <w:rFonts w:cs="Arial"/>
          <w:b/>
          <w:bCs/>
          <w:noProof/>
          <w:sz w:val="20"/>
          <w:szCs w:val="24"/>
        </w:rPr>
        <w:t>98</w:t>
      </w:r>
      <w:r w:rsidRPr="008C02B1">
        <w:rPr>
          <w:rFonts w:cs="Arial"/>
          <w:noProof/>
          <w:sz w:val="20"/>
          <w:szCs w:val="24"/>
        </w:rPr>
        <w:t>, 1417–1464 (2018).</w:t>
      </w:r>
    </w:p>
    <w:p w14:paraId="2091D6EA"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23.</w:t>
      </w:r>
      <w:r w:rsidRPr="008C02B1">
        <w:rPr>
          <w:rFonts w:cs="Arial"/>
          <w:noProof/>
          <w:sz w:val="20"/>
          <w:szCs w:val="24"/>
        </w:rPr>
        <w:tab/>
        <w:t xml:space="preserve">Cawcutt, K. &amp; Kalil, A. C. Pneumonia with bacterial and viral coinfection. </w:t>
      </w:r>
      <w:r w:rsidRPr="008C02B1">
        <w:rPr>
          <w:rFonts w:cs="Arial"/>
          <w:i/>
          <w:iCs/>
          <w:noProof/>
          <w:sz w:val="20"/>
          <w:szCs w:val="24"/>
        </w:rPr>
        <w:t>Curr. Opin. Crit. Care</w:t>
      </w:r>
      <w:r w:rsidRPr="008C02B1">
        <w:rPr>
          <w:rFonts w:cs="Arial"/>
          <w:noProof/>
          <w:sz w:val="20"/>
          <w:szCs w:val="24"/>
        </w:rPr>
        <w:t xml:space="preserve"> </w:t>
      </w:r>
      <w:r w:rsidRPr="008C02B1">
        <w:rPr>
          <w:rFonts w:cs="Arial"/>
          <w:b/>
          <w:bCs/>
          <w:noProof/>
          <w:sz w:val="20"/>
          <w:szCs w:val="24"/>
        </w:rPr>
        <w:t>23</w:t>
      </w:r>
      <w:r w:rsidRPr="008C02B1">
        <w:rPr>
          <w:rFonts w:cs="Arial"/>
          <w:noProof/>
          <w:sz w:val="20"/>
          <w:szCs w:val="24"/>
        </w:rPr>
        <w:t>, 385–390 (2017).</w:t>
      </w:r>
    </w:p>
    <w:p w14:paraId="15EE9B70"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24.</w:t>
      </w:r>
      <w:r w:rsidRPr="008C02B1">
        <w:rPr>
          <w:rFonts w:cs="Arial"/>
          <w:noProof/>
          <w:sz w:val="20"/>
          <w:szCs w:val="24"/>
        </w:rPr>
        <w:tab/>
        <w:t xml:space="preserve">Nolan, V. G. </w:t>
      </w:r>
      <w:r w:rsidRPr="008C02B1">
        <w:rPr>
          <w:rFonts w:cs="Arial"/>
          <w:i/>
          <w:iCs/>
          <w:noProof/>
          <w:sz w:val="20"/>
          <w:szCs w:val="24"/>
        </w:rPr>
        <w:t>et al.</w:t>
      </w:r>
      <w:r w:rsidRPr="008C02B1">
        <w:rPr>
          <w:rFonts w:cs="Arial"/>
          <w:noProof/>
          <w:sz w:val="20"/>
          <w:szCs w:val="24"/>
        </w:rPr>
        <w:t xml:space="preserve"> Etiology and Impact of Coinfections in Children Hospitalized With Community-Acquired Pneumonia. doi:10.1093/infdis/jix641</w:t>
      </w:r>
    </w:p>
    <w:p w14:paraId="7DCDD5A6"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25.</w:t>
      </w:r>
      <w:r w:rsidRPr="008C02B1">
        <w:rPr>
          <w:rFonts w:cs="Arial"/>
          <w:noProof/>
          <w:sz w:val="20"/>
          <w:szCs w:val="24"/>
        </w:rPr>
        <w:tab/>
        <w:t xml:space="preserve">Ericksen, R. T., Guthrie, C. &amp; Carroll, T. The Use of Procalcitonin for Prediction of Pulmonary Bacterial Coinfection in Children With Respiratory Failure Associated With Viral Bronchiolitis. </w:t>
      </w:r>
      <w:r w:rsidRPr="008C02B1">
        <w:rPr>
          <w:rFonts w:cs="Arial"/>
          <w:i/>
          <w:iCs/>
          <w:noProof/>
          <w:sz w:val="20"/>
          <w:szCs w:val="24"/>
        </w:rPr>
        <w:t>Clin. Pediatr. (Phila).</w:t>
      </w:r>
      <w:r w:rsidRPr="008C02B1">
        <w:rPr>
          <w:rFonts w:cs="Arial"/>
          <w:noProof/>
          <w:sz w:val="20"/>
          <w:szCs w:val="24"/>
        </w:rPr>
        <w:t xml:space="preserve"> </w:t>
      </w:r>
      <w:r w:rsidRPr="008C02B1">
        <w:rPr>
          <w:rFonts w:cs="Arial"/>
          <w:b/>
          <w:bCs/>
          <w:noProof/>
          <w:sz w:val="20"/>
          <w:szCs w:val="24"/>
        </w:rPr>
        <w:t>58</w:t>
      </w:r>
      <w:r w:rsidRPr="008C02B1">
        <w:rPr>
          <w:rFonts w:cs="Arial"/>
          <w:noProof/>
          <w:sz w:val="20"/>
          <w:szCs w:val="24"/>
        </w:rPr>
        <w:t>, 288–294 (2019).</w:t>
      </w:r>
    </w:p>
    <w:p w14:paraId="5C8A49D3"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26.</w:t>
      </w:r>
      <w:r w:rsidRPr="008C02B1">
        <w:rPr>
          <w:rFonts w:cs="Arial"/>
          <w:noProof/>
          <w:sz w:val="20"/>
          <w:szCs w:val="24"/>
        </w:rPr>
        <w:tab/>
        <w:t xml:space="preserve">Ruuskanen, O., Lahti, E., Jennings, L. C. &amp; Murdoch, D. R. Viral pneumonia. </w:t>
      </w:r>
      <w:r w:rsidRPr="008C02B1">
        <w:rPr>
          <w:rFonts w:cs="Arial"/>
          <w:i/>
          <w:iCs/>
          <w:noProof/>
          <w:sz w:val="20"/>
          <w:szCs w:val="24"/>
        </w:rPr>
        <w:t>The Lancet</w:t>
      </w:r>
      <w:r w:rsidRPr="008C02B1">
        <w:rPr>
          <w:rFonts w:cs="Arial"/>
          <w:noProof/>
          <w:sz w:val="20"/>
          <w:szCs w:val="24"/>
        </w:rPr>
        <w:t xml:space="preserve"> </w:t>
      </w:r>
      <w:r w:rsidRPr="008C02B1">
        <w:rPr>
          <w:rFonts w:cs="Arial"/>
          <w:b/>
          <w:bCs/>
          <w:noProof/>
          <w:sz w:val="20"/>
          <w:szCs w:val="24"/>
        </w:rPr>
        <w:t>377</w:t>
      </w:r>
      <w:r w:rsidRPr="008C02B1">
        <w:rPr>
          <w:rFonts w:cs="Arial"/>
          <w:noProof/>
          <w:sz w:val="20"/>
          <w:szCs w:val="24"/>
        </w:rPr>
        <w:t>, 1264–1275 (2011).</w:t>
      </w:r>
    </w:p>
    <w:p w14:paraId="403EFBB2"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27.</w:t>
      </w:r>
      <w:r w:rsidRPr="008C02B1">
        <w:rPr>
          <w:rFonts w:cs="Arial"/>
          <w:noProof/>
          <w:sz w:val="20"/>
          <w:szCs w:val="24"/>
        </w:rPr>
        <w:tab/>
        <w:t xml:space="preserve">Ishizuka, S. </w:t>
      </w:r>
      <w:r w:rsidRPr="008C02B1">
        <w:rPr>
          <w:rFonts w:cs="Arial"/>
          <w:i/>
          <w:iCs/>
          <w:noProof/>
          <w:sz w:val="20"/>
          <w:szCs w:val="24"/>
        </w:rPr>
        <w:t>et al.</w:t>
      </w:r>
      <w:r w:rsidRPr="008C02B1">
        <w:rPr>
          <w:rFonts w:cs="Arial"/>
          <w:noProof/>
          <w:sz w:val="20"/>
          <w:szCs w:val="24"/>
        </w:rPr>
        <w:t xml:space="preserve"> Effects of Rhinovirus Infection on the Adherence of Streptococcus pneumoniae to Cultured Human Airway Epithelial Cells. </w:t>
      </w:r>
      <w:r w:rsidRPr="008C02B1">
        <w:rPr>
          <w:rFonts w:cs="Arial"/>
          <w:i/>
          <w:iCs/>
          <w:noProof/>
          <w:sz w:val="20"/>
          <w:szCs w:val="24"/>
        </w:rPr>
        <w:t>J. Infect. Dis.</w:t>
      </w:r>
      <w:r w:rsidRPr="008C02B1">
        <w:rPr>
          <w:rFonts w:cs="Arial"/>
          <w:noProof/>
          <w:sz w:val="20"/>
          <w:szCs w:val="24"/>
        </w:rPr>
        <w:t xml:space="preserve"> </w:t>
      </w:r>
      <w:r w:rsidRPr="008C02B1">
        <w:rPr>
          <w:rFonts w:cs="Arial"/>
          <w:b/>
          <w:bCs/>
          <w:noProof/>
          <w:sz w:val="20"/>
          <w:szCs w:val="24"/>
        </w:rPr>
        <w:t>188</w:t>
      </w:r>
      <w:r w:rsidRPr="008C02B1">
        <w:rPr>
          <w:rFonts w:cs="Arial"/>
          <w:noProof/>
          <w:sz w:val="20"/>
          <w:szCs w:val="24"/>
        </w:rPr>
        <w:t>, 1928–1939 (2003).</w:t>
      </w:r>
    </w:p>
    <w:p w14:paraId="4B4A9F8C"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28.</w:t>
      </w:r>
      <w:r w:rsidRPr="008C02B1">
        <w:rPr>
          <w:rFonts w:cs="Arial"/>
          <w:noProof/>
          <w:sz w:val="20"/>
          <w:szCs w:val="24"/>
        </w:rPr>
        <w:tab/>
        <w:t xml:space="preserve">Madhi, S. A., Klugman, K. P. &amp; The Vaccine Trialist Group. A role for Streptococcus pneumoniae in virus-associated pneumonia. </w:t>
      </w:r>
      <w:r w:rsidRPr="008C02B1">
        <w:rPr>
          <w:rFonts w:cs="Arial"/>
          <w:i/>
          <w:iCs/>
          <w:noProof/>
          <w:sz w:val="20"/>
          <w:szCs w:val="24"/>
        </w:rPr>
        <w:t>Nat. Med.</w:t>
      </w:r>
      <w:r w:rsidRPr="008C02B1">
        <w:rPr>
          <w:rFonts w:cs="Arial"/>
          <w:noProof/>
          <w:sz w:val="20"/>
          <w:szCs w:val="24"/>
        </w:rPr>
        <w:t xml:space="preserve"> </w:t>
      </w:r>
      <w:r w:rsidRPr="008C02B1">
        <w:rPr>
          <w:rFonts w:cs="Arial"/>
          <w:b/>
          <w:bCs/>
          <w:noProof/>
          <w:sz w:val="20"/>
          <w:szCs w:val="24"/>
        </w:rPr>
        <w:t>10</w:t>
      </w:r>
      <w:r w:rsidRPr="008C02B1">
        <w:rPr>
          <w:rFonts w:cs="Arial"/>
          <w:noProof/>
          <w:sz w:val="20"/>
          <w:szCs w:val="24"/>
        </w:rPr>
        <w:t>, 811–813 (2004).</w:t>
      </w:r>
    </w:p>
    <w:p w14:paraId="08D7AD6E"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29.</w:t>
      </w:r>
      <w:r w:rsidRPr="008C02B1">
        <w:rPr>
          <w:rFonts w:cs="Arial"/>
          <w:noProof/>
          <w:sz w:val="20"/>
          <w:szCs w:val="24"/>
        </w:rPr>
        <w:tab/>
        <w:t xml:space="preserve">Siegel, S. J. &amp; Weiser, J. N. Mechanisms of Bacterial Colonization of the Respiratory Tract. </w:t>
      </w:r>
      <w:r w:rsidRPr="008C02B1">
        <w:rPr>
          <w:rFonts w:cs="Arial"/>
          <w:i/>
          <w:iCs/>
          <w:noProof/>
          <w:sz w:val="20"/>
          <w:szCs w:val="24"/>
        </w:rPr>
        <w:t>Annu. Rev. Microbiol.</w:t>
      </w:r>
      <w:r w:rsidRPr="008C02B1">
        <w:rPr>
          <w:rFonts w:cs="Arial"/>
          <w:noProof/>
          <w:sz w:val="20"/>
          <w:szCs w:val="24"/>
        </w:rPr>
        <w:t xml:space="preserve"> </w:t>
      </w:r>
      <w:r w:rsidRPr="008C02B1">
        <w:rPr>
          <w:rFonts w:cs="Arial"/>
          <w:b/>
          <w:bCs/>
          <w:noProof/>
          <w:sz w:val="20"/>
          <w:szCs w:val="24"/>
        </w:rPr>
        <w:t>69</w:t>
      </w:r>
      <w:r w:rsidRPr="008C02B1">
        <w:rPr>
          <w:rFonts w:cs="Arial"/>
          <w:noProof/>
          <w:sz w:val="20"/>
          <w:szCs w:val="24"/>
        </w:rPr>
        <w:t>, 425–444 (2015).</w:t>
      </w:r>
    </w:p>
    <w:p w14:paraId="55251A32"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30.</w:t>
      </w:r>
      <w:r w:rsidRPr="008C02B1">
        <w:rPr>
          <w:rFonts w:cs="Arial"/>
          <w:noProof/>
          <w:sz w:val="20"/>
          <w:szCs w:val="24"/>
        </w:rPr>
        <w:tab/>
      </w:r>
      <w:r w:rsidRPr="008C02B1">
        <w:rPr>
          <w:rFonts w:cs="Arial"/>
          <w:i/>
          <w:iCs/>
          <w:noProof/>
          <w:sz w:val="20"/>
          <w:szCs w:val="24"/>
        </w:rPr>
        <w:t>HOSPITAL CARE FOR CHILDREN WHO ISBN 978 92 4 154837 3</w:t>
      </w:r>
      <w:r w:rsidRPr="008C02B1">
        <w:rPr>
          <w:rFonts w:cs="Arial"/>
          <w:noProof/>
          <w:sz w:val="20"/>
          <w:szCs w:val="24"/>
        </w:rPr>
        <w:t>.</w:t>
      </w:r>
    </w:p>
    <w:p w14:paraId="0B6AC3B6"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31.</w:t>
      </w:r>
      <w:r w:rsidRPr="008C02B1">
        <w:rPr>
          <w:rFonts w:cs="Arial"/>
          <w:noProof/>
          <w:sz w:val="20"/>
          <w:szCs w:val="24"/>
        </w:rPr>
        <w:tab/>
        <w:t>ICD-11 - Mortality and Morbidity Statistics. Available at: https://icd.who.int/browse11/l-m/en. (Accessed: 24th May 2020)</w:t>
      </w:r>
    </w:p>
    <w:p w14:paraId="19E2E4E7"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32.</w:t>
      </w:r>
      <w:r w:rsidRPr="008C02B1">
        <w:rPr>
          <w:rFonts w:cs="Arial"/>
          <w:noProof/>
          <w:sz w:val="20"/>
          <w:szCs w:val="24"/>
        </w:rPr>
        <w:tab/>
        <w:t xml:space="preserve">Haque, K. N. Definitions of bloodstream infection in the newborn. </w:t>
      </w:r>
      <w:r w:rsidRPr="008C02B1">
        <w:rPr>
          <w:rFonts w:cs="Arial"/>
          <w:i/>
          <w:iCs/>
          <w:noProof/>
          <w:sz w:val="20"/>
          <w:szCs w:val="24"/>
        </w:rPr>
        <w:t>Pediatr. Crit. Care Med.</w:t>
      </w:r>
      <w:r w:rsidRPr="008C02B1">
        <w:rPr>
          <w:rFonts w:cs="Arial"/>
          <w:noProof/>
          <w:sz w:val="20"/>
          <w:szCs w:val="24"/>
        </w:rPr>
        <w:t xml:space="preserve"> </w:t>
      </w:r>
      <w:r w:rsidRPr="008C02B1">
        <w:rPr>
          <w:rFonts w:cs="Arial"/>
          <w:b/>
          <w:bCs/>
          <w:noProof/>
          <w:sz w:val="20"/>
          <w:szCs w:val="24"/>
        </w:rPr>
        <w:t>6</w:t>
      </w:r>
      <w:r w:rsidRPr="008C02B1">
        <w:rPr>
          <w:rFonts w:cs="Arial"/>
          <w:noProof/>
          <w:sz w:val="20"/>
          <w:szCs w:val="24"/>
        </w:rPr>
        <w:t>, S45–S49 (2005).</w:t>
      </w:r>
    </w:p>
    <w:p w14:paraId="307425D8"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33.</w:t>
      </w:r>
      <w:r w:rsidRPr="008C02B1">
        <w:rPr>
          <w:rFonts w:cs="Arial"/>
          <w:noProof/>
          <w:sz w:val="20"/>
          <w:szCs w:val="24"/>
        </w:rPr>
        <w:tab/>
        <w:t xml:space="preserve">Lazzerini, M. </w:t>
      </w:r>
      <w:r w:rsidRPr="008C02B1">
        <w:rPr>
          <w:rFonts w:cs="Arial"/>
          <w:i/>
          <w:iCs/>
          <w:noProof/>
          <w:sz w:val="20"/>
          <w:szCs w:val="24"/>
        </w:rPr>
        <w:t>et al.</w:t>
      </w:r>
      <w:r w:rsidRPr="008C02B1">
        <w:rPr>
          <w:rFonts w:cs="Arial"/>
          <w:noProof/>
          <w:sz w:val="20"/>
          <w:szCs w:val="24"/>
        </w:rPr>
        <w:t xml:space="preserve"> Mortality and its risk factors in Malawian children admitted to hospital with clinical pneumonia, 2001-12: A retrospective observational study. </w:t>
      </w:r>
      <w:r w:rsidRPr="008C02B1">
        <w:rPr>
          <w:rFonts w:cs="Arial"/>
          <w:i/>
          <w:iCs/>
          <w:noProof/>
          <w:sz w:val="20"/>
          <w:szCs w:val="24"/>
        </w:rPr>
        <w:t>Lancet Glob. Heal.</w:t>
      </w:r>
      <w:r w:rsidRPr="008C02B1">
        <w:rPr>
          <w:rFonts w:cs="Arial"/>
          <w:noProof/>
          <w:sz w:val="20"/>
          <w:szCs w:val="24"/>
        </w:rPr>
        <w:t xml:space="preserve"> (2016). doi:10.1016/S2214-109X(15)00215-6</w:t>
      </w:r>
    </w:p>
    <w:p w14:paraId="72DCA496"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34.</w:t>
      </w:r>
      <w:r w:rsidRPr="008C02B1">
        <w:rPr>
          <w:rFonts w:cs="Arial"/>
          <w:noProof/>
          <w:sz w:val="20"/>
          <w:szCs w:val="24"/>
        </w:rPr>
        <w:tab/>
        <w:t xml:space="preserve">Goodman, D. </w:t>
      </w:r>
      <w:r w:rsidRPr="008C02B1">
        <w:rPr>
          <w:rFonts w:cs="Arial"/>
          <w:i/>
          <w:iCs/>
          <w:noProof/>
          <w:sz w:val="20"/>
          <w:szCs w:val="24"/>
        </w:rPr>
        <w:t>et al.</w:t>
      </w:r>
      <w:r w:rsidRPr="008C02B1">
        <w:rPr>
          <w:rFonts w:cs="Arial"/>
          <w:noProof/>
          <w:sz w:val="20"/>
          <w:szCs w:val="24"/>
        </w:rPr>
        <w:t xml:space="preserve"> Challenges in the diagnosis of paediatric pneumonia in intervention field trials: recommendations from a pneumonia field trial working group. </w:t>
      </w:r>
      <w:r w:rsidRPr="008C02B1">
        <w:rPr>
          <w:rFonts w:cs="Arial"/>
          <w:i/>
          <w:iCs/>
          <w:noProof/>
          <w:sz w:val="20"/>
          <w:szCs w:val="24"/>
        </w:rPr>
        <w:t>The Lancet Respiratory Medicine</w:t>
      </w:r>
      <w:r w:rsidRPr="008C02B1">
        <w:rPr>
          <w:rFonts w:cs="Arial"/>
          <w:noProof/>
          <w:sz w:val="20"/>
          <w:szCs w:val="24"/>
        </w:rPr>
        <w:t xml:space="preserve"> </w:t>
      </w:r>
      <w:r w:rsidRPr="008C02B1">
        <w:rPr>
          <w:rFonts w:cs="Arial"/>
          <w:b/>
          <w:bCs/>
          <w:noProof/>
          <w:sz w:val="20"/>
          <w:szCs w:val="24"/>
        </w:rPr>
        <w:t>7</w:t>
      </w:r>
      <w:r w:rsidRPr="008C02B1">
        <w:rPr>
          <w:rFonts w:cs="Arial"/>
          <w:noProof/>
          <w:sz w:val="20"/>
          <w:szCs w:val="24"/>
        </w:rPr>
        <w:t>, 1068–1083 (2019).</w:t>
      </w:r>
    </w:p>
    <w:p w14:paraId="15A2F586"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35.</w:t>
      </w:r>
      <w:r w:rsidRPr="008C02B1">
        <w:rPr>
          <w:rFonts w:cs="Arial"/>
          <w:noProof/>
          <w:sz w:val="20"/>
          <w:szCs w:val="24"/>
        </w:rPr>
        <w:tab/>
        <w:t xml:space="preserve">Fancourt, N. </w:t>
      </w:r>
      <w:r w:rsidRPr="008C02B1">
        <w:rPr>
          <w:rFonts w:cs="Arial"/>
          <w:i/>
          <w:iCs/>
          <w:noProof/>
          <w:sz w:val="20"/>
          <w:szCs w:val="24"/>
        </w:rPr>
        <w:t>et al.</w:t>
      </w:r>
      <w:r w:rsidRPr="008C02B1">
        <w:rPr>
          <w:rFonts w:cs="Arial"/>
          <w:noProof/>
          <w:sz w:val="20"/>
          <w:szCs w:val="24"/>
        </w:rPr>
        <w:t xml:space="preserve"> Chest radiograph findings in childhood pneumonia cases from the multisite PERCH study. </w:t>
      </w:r>
      <w:r w:rsidRPr="008C02B1">
        <w:rPr>
          <w:rFonts w:cs="Arial"/>
          <w:i/>
          <w:iCs/>
          <w:noProof/>
          <w:sz w:val="20"/>
          <w:szCs w:val="24"/>
        </w:rPr>
        <w:t>Clin. Infect. Dis.</w:t>
      </w:r>
      <w:r w:rsidRPr="008C02B1">
        <w:rPr>
          <w:rFonts w:cs="Arial"/>
          <w:noProof/>
          <w:sz w:val="20"/>
          <w:szCs w:val="24"/>
        </w:rPr>
        <w:t xml:space="preserve"> </w:t>
      </w:r>
      <w:r w:rsidRPr="008C02B1">
        <w:rPr>
          <w:rFonts w:cs="Arial"/>
          <w:b/>
          <w:bCs/>
          <w:noProof/>
          <w:sz w:val="20"/>
          <w:szCs w:val="24"/>
        </w:rPr>
        <w:t>64</w:t>
      </w:r>
      <w:r w:rsidRPr="008C02B1">
        <w:rPr>
          <w:rFonts w:cs="Arial"/>
          <w:noProof/>
          <w:sz w:val="20"/>
          <w:szCs w:val="24"/>
        </w:rPr>
        <w:t>, S262–S270 (2017).</w:t>
      </w:r>
    </w:p>
    <w:p w14:paraId="27B1BFDE"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lastRenderedPageBreak/>
        <w:t>36.</w:t>
      </w:r>
      <w:r w:rsidRPr="008C02B1">
        <w:rPr>
          <w:rFonts w:cs="Arial"/>
          <w:noProof/>
          <w:sz w:val="20"/>
          <w:szCs w:val="24"/>
        </w:rPr>
        <w:tab/>
        <w:t xml:space="preserve">Nicholas Fancourt, Maria Deloria Knoll, Breanna Barger-Kamate, John de Campo, Margaret de Campo, Mahamadou Diallo, Bernard E. Ebruke, Daniel R. Feikin, Fergus Gleeson, Wenfeng Gong, Laura L. Hammitt, Rasa Izadnegahdar, Anchalee Kruatrachue, Shabir A. Madh, K. L. O. Standardized Interpretation of Chest Radiographs in Cases of Pediatric Pneumonia From the PERCH Study. </w:t>
      </w:r>
      <w:r w:rsidRPr="008C02B1">
        <w:rPr>
          <w:rFonts w:cs="Arial"/>
          <w:i/>
          <w:iCs/>
          <w:noProof/>
          <w:sz w:val="20"/>
          <w:szCs w:val="24"/>
        </w:rPr>
        <w:t>Clin. Infect. Dis.</w:t>
      </w:r>
      <w:r w:rsidRPr="008C02B1">
        <w:rPr>
          <w:rFonts w:cs="Arial"/>
          <w:noProof/>
          <w:sz w:val="20"/>
          <w:szCs w:val="24"/>
        </w:rPr>
        <w:t xml:space="preserve"> S253–S261 (2017).</w:t>
      </w:r>
    </w:p>
    <w:p w14:paraId="691A653D"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37.</w:t>
      </w:r>
      <w:r w:rsidRPr="008C02B1">
        <w:rPr>
          <w:rFonts w:cs="Arial"/>
          <w:noProof/>
          <w:sz w:val="20"/>
          <w:szCs w:val="24"/>
        </w:rPr>
        <w:tab/>
        <w:t xml:space="preserve">Benguigui, Y. [Magnitude and control of acute respiratory infections in children]. </w:t>
      </w:r>
      <w:r w:rsidRPr="008C02B1">
        <w:rPr>
          <w:rFonts w:cs="Arial"/>
          <w:i/>
          <w:iCs/>
          <w:noProof/>
          <w:sz w:val="20"/>
          <w:szCs w:val="24"/>
        </w:rPr>
        <w:t>Salud Publica Mex.</w:t>
      </w:r>
      <w:r w:rsidRPr="008C02B1">
        <w:rPr>
          <w:rFonts w:cs="Arial"/>
          <w:noProof/>
          <w:sz w:val="20"/>
          <w:szCs w:val="24"/>
        </w:rPr>
        <w:t xml:space="preserve"> </w:t>
      </w:r>
      <w:r w:rsidRPr="008C02B1">
        <w:rPr>
          <w:rFonts w:cs="Arial"/>
          <w:b/>
          <w:bCs/>
          <w:noProof/>
          <w:sz w:val="20"/>
          <w:szCs w:val="24"/>
        </w:rPr>
        <w:t>30</w:t>
      </w:r>
      <w:r w:rsidRPr="008C02B1">
        <w:rPr>
          <w:rFonts w:cs="Arial"/>
          <w:noProof/>
          <w:sz w:val="20"/>
          <w:szCs w:val="24"/>
        </w:rPr>
        <w:t>, 362–9</w:t>
      </w:r>
    </w:p>
    <w:p w14:paraId="34AABAD7"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38.</w:t>
      </w:r>
      <w:r w:rsidRPr="008C02B1">
        <w:rPr>
          <w:rFonts w:cs="Arial"/>
          <w:noProof/>
          <w:sz w:val="20"/>
          <w:szCs w:val="24"/>
        </w:rPr>
        <w:tab/>
        <w:t xml:space="preserve">Hortensia, R. </w:t>
      </w:r>
      <w:r w:rsidRPr="008C02B1">
        <w:rPr>
          <w:rFonts w:cs="Arial"/>
          <w:i/>
          <w:iCs/>
          <w:noProof/>
          <w:sz w:val="20"/>
          <w:szCs w:val="24"/>
        </w:rPr>
        <w:t>et al.</w:t>
      </w:r>
      <w:r w:rsidRPr="008C02B1">
        <w:rPr>
          <w:rFonts w:cs="Arial"/>
          <w:noProof/>
          <w:sz w:val="20"/>
          <w:szCs w:val="24"/>
        </w:rPr>
        <w:t xml:space="preserve"> Infant Mortality Due to Acute Respiratory Infections: The influence of Primary Care Processes. </w:t>
      </w:r>
      <w:r w:rsidRPr="008C02B1">
        <w:rPr>
          <w:rFonts w:cs="Arial"/>
          <w:i/>
          <w:iCs/>
          <w:noProof/>
          <w:sz w:val="20"/>
          <w:szCs w:val="24"/>
        </w:rPr>
        <w:t>Health Policy Plan.</w:t>
      </w:r>
      <w:r w:rsidRPr="008C02B1">
        <w:rPr>
          <w:rFonts w:cs="Arial"/>
          <w:noProof/>
          <w:sz w:val="20"/>
          <w:szCs w:val="24"/>
        </w:rPr>
        <w:t xml:space="preserve"> </w:t>
      </w:r>
      <w:r w:rsidRPr="008C02B1">
        <w:rPr>
          <w:rFonts w:cs="Arial"/>
          <w:b/>
          <w:bCs/>
          <w:noProof/>
          <w:sz w:val="20"/>
          <w:szCs w:val="24"/>
        </w:rPr>
        <w:t>12</w:t>
      </w:r>
      <w:r w:rsidRPr="008C02B1">
        <w:rPr>
          <w:rFonts w:cs="Arial"/>
          <w:noProof/>
          <w:sz w:val="20"/>
          <w:szCs w:val="24"/>
        </w:rPr>
        <w:t>, 214–230 (1997).</w:t>
      </w:r>
    </w:p>
    <w:p w14:paraId="14CE903E"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39.</w:t>
      </w:r>
      <w:r w:rsidRPr="008C02B1">
        <w:rPr>
          <w:rFonts w:cs="Arial"/>
          <w:noProof/>
          <w:sz w:val="20"/>
          <w:szCs w:val="24"/>
        </w:rPr>
        <w:tab/>
        <w:t xml:space="preserve">Ghimire, M., Pradhan, Y. V. &amp; Maskey, M. K. Community-based interventions for diarrhoeal diseases and acute respiratory infections in Nepal. </w:t>
      </w:r>
      <w:r w:rsidRPr="008C02B1">
        <w:rPr>
          <w:rFonts w:cs="Arial"/>
          <w:i/>
          <w:iCs/>
          <w:noProof/>
          <w:sz w:val="20"/>
          <w:szCs w:val="24"/>
        </w:rPr>
        <w:t>Bull. World Health Organ.</w:t>
      </w:r>
      <w:r w:rsidRPr="008C02B1">
        <w:rPr>
          <w:rFonts w:cs="Arial"/>
          <w:noProof/>
          <w:sz w:val="20"/>
          <w:szCs w:val="24"/>
        </w:rPr>
        <w:t xml:space="preserve"> </w:t>
      </w:r>
      <w:r w:rsidRPr="008C02B1">
        <w:rPr>
          <w:rFonts w:cs="Arial"/>
          <w:b/>
          <w:bCs/>
          <w:noProof/>
          <w:sz w:val="20"/>
          <w:szCs w:val="24"/>
        </w:rPr>
        <w:t>88</w:t>
      </w:r>
      <w:r w:rsidRPr="008C02B1">
        <w:rPr>
          <w:rFonts w:cs="Arial"/>
          <w:noProof/>
          <w:sz w:val="20"/>
          <w:szCs w:val="24"/>
        </w:rPr>
        <w:t>, 216–221 (2010).</w:t>
      </w:r>
    </w:p>
    <w:p w14:paraId="53804E99"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40.</w:t>
      </w:r>
      <w:r w:rsidRPr="008C02B1">
        <w:rPr>
          <w:rFonts w:cs="Arial"/>
          <w:noProof/>
          <w:sz w:val="20"/>
          <w:szCs w:val="24"/>
        </w:rPr>
        <w:tab/>
        <w:t xml:space="preserve">Berkley, J. A. </w:t>
      </w:r>
      <w:r w:rsidRPr="008C02B1">
        <w:rPr>
          <w:rFonts w:cs="Arial"/>
          <w:i/>
          <w:iCs/>
          <w:noProof/>
          <w:sz w:val="20"/>
          <w:szCs w:val="24"/>
        </w:rPr>
        <w:t>et al.</w:t>
      </w:r>
      <w:r w:rsidRPr="008C02B1">
        <w:rPr>
          <w:rFonts w:cs="Arial"/>
          <w:noProof/>
          <w:sz w:val="20"/>
          <w:szCs w:val="24"/>
        </w:rPr>
        <w:t xml:space="preserve"> Prognostic indicators of early and late death in children admitted to district hospital in Kenya: Cohort study. </w:t>
      </w:r>
      <w:r w:rsidRPr="008C02B1">
        <w:rPr>
          <w:rFonts w:cs="Arial"/>
          <w:i/>
          <w:iCs/>
          <w:noProof/>
          <w:sz w:val="20"/>
          <w:szCs w:val="24"/>
        </w:rPr>
        <w:t>Br. Med. J.</w:t>
      </w:r>
      <w:r w:rsidRPr="008C02B1">
        <w:rPr>
          <w:rFonts w:cs="Arial"/>
          <w:noProof/>
          <w:sz w:val="20"/>
          <w:szCs w:val="24"/>
        </w:rPr>
        <w:t xml:space="preserve"> </w:t>
      </w:r>
      <w:r w:rsidRPr="008C02B1">
        <w:rPr>
          <w:rFonts w:cs="Arial"/>
          <w:b/>
          <w:bCs/>
          <w:noProof/>
          <w:sz w:val="20"/>
          <w:szCs w:val="24"/>
        </w:rPr>
        <w:t>326</w:t>
      </w:r>
      <w:r w:rsidRPr="008C02B1">
        <w:rPr>
          <w:rFonts w:cs="Arial"/>
          <w:noProof/>
          <w:sz w:val="20"/>
          <w:szCs w:val="24"/>
        </w:rPr>
        <w:t>, 361–364 (2003).</w:t>
      </w:r>
    </w:p>
    <w:p w14:paraId="7C5426A2"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41.</w:t>
      </w:r>
      <w:r w:rsidRPr="008C02B1">
        <w:rPr>
          <w:rFonts w:cs="Arial"/>
          <w:noProof/>
          <w:sz w:val="20"/>
          <w:szCs w:val="24"/>
        </w:rPr>
        <w:tab/>
        <w:t xml:space="preserve">Ng’ambi, W. </w:t>
      </w:r>
      <w:r w:rsidRPr="008C02B1">
        <w:rPr>
          <w:rFonts w:cs="Arial"/>
          <w:i/>
          <w:iCs/>
          <w:noProof/>
          <w:sz w:val="20"/>
          <w:szCs w:val="24"/>
        </w:rPr>
        <w:t>et al.</w:t>
      </w:r>
      <w:r w:rsidRPr="008C02B1">
        <w:rPr>
          <w:rFonts w:cs="Arial"/>
          <w:noProof/>
          <w:sz w:val="20"/>
          <w:szCs w:val="24"/>
        </w:rPr>
        <w:t xml:space="preserve"> Factors associated with healthcare seeking behaviour for children in Malawi: 2016. </w:t>
      </w:r>
      <w:r w:rsidRPr="008C02B1">
        <w:rPr>
          <w:rFonts w:cs="Arial"/>
          <w:i/>
          <w:iCs/>
          <w:noProof/>
          <w:sz w:val="20"/>
          <w:szCs w:val="24"/>
        </w:rPr>
        <w:t>Trop. Med. Int. Heal.</w:t>
      </w:r>
      <w:r w:rsidRPr="008C02B1">
        <w:rPr>
          <w:rFonts w:cs="Arial"/>
          <w:noProof/>
          <w:sz w:val="20"/>
          <w:szCs w:val="24"/>
        </w:rPr>
        <w:t xml:space="preserve"> (2020). doi:10.1111/tmi.13499</w:t>
      </w:r>
    </w:p>
    <w:p w14:paraId="435B1A00"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42.</w:t>
      </w:r>
      <w:r w:rsidRPr="008C02B1">
        <w:rPr>
          <w:rFonts w:cs="Arial"/>
          <w:noProof/>
          <w:sz w:val="20"/>
          <w:szCs w:val="24"/>
        </w:rPr>
        <w:tab/>
        <w:t xml:space="preserve">Nguyen, D. T. K., Leung, K. K., McIntyre, L., Ghali, W. A. &amp; Sauve, R. Does Integrated Management of Childhood Illness (IMCI) Training Improve the Skills of Health Workers? A Systematic Review and Meta-Analysis. </w:t>
      </w:r>
      <w:r w:rsidRPr="008C02B1">
        <w:rPr>
          <w:rFonts w:cs="Arial"/>
          <w:i/>
          <w:iCs/>
          <w:noProof/>
          <w:sz w:val="20"/>
          <w:szCs w:val="24"/>
        </w:rPr>
        <w:t>PLoS One</w:t>
      </w:r>
      <w:r w:rsidRPr="008C02B1">
        <w:rPr>
          <w:rFonts w:cs="Arial"/>
          <w:noProof/>
          <w:sz w:val="20"/>
          <w:szCs w:val="24"/>
        </w:rPr>
        <w:t xml:space="preserve"> </w:t>
      </w:r>
      <w:r w:rsidRPr="008C02B1">
        <w:rPr>
          <w:rFonts w:cs="Arial"/>
          <w:b/>
          <w:bCs/>
          <w:noProof/>
          <w:sz w:val="20"/>
          <w:szCs w:val="24"/>
        </w:rPr>
        <w:t>8</w:t>
      </w:r>
      <w:r w:rsidRPr="008C02B1">
        <w:rPr>
          <w:rFonts w:cs="Arial"/>
          <w:noProof/>
          <w:sz w:val="20"/>
          <w:szCs w:val="24"/>
        </w:rPr>
        <w:t>, e66030 (2013).</w:t>
      </w:r>
    </w:p>
    <w:p w14:paraId="1901434D"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43.</w:t>
      </w:r>
      <w:r w:rsidRPr="008C02B1">
        <w:rPr>
          <w:rFonts w:cs="Arial"/>
          <w:noProof/>
          <w:sz w:val="20"/>
          <w:szCs w:val="24"/>
        </w:rPr>
        <w:tab/>
        <w:t xml:space="preserve">Uwemedimo, O. T. </w:t>
      </w:r>
      <w:r w:rsidRPr="008C02B1">
        <w:rPr>
          <w:rFonts w:cs="Arial"/>
          <w:i/>
          <w:iCs/>
          <w:noProof/>
          <w:sz w:val="20"/>
          <w:szCs w:val="24"/>
        </w:rPr>
        <w:t>et al.</w:t>
      </w:r>
      <w:r w:rsidRPr="008C02B1">
        <w:rPr>
          <w:rFonts w:cs="Arial"/>
          <w:noProof/>
          <w:sz w:val="20"/>
          <w:szCs w:val="24"/>
        </w:rPr>
        <w:t xml:space="preserve"> Distribution and determinants of pneumonia diagnosis using Integrated Management of Childhood Illness guidelines: a nationally representative study in Malawi. </w:t>
      </w:r>
      <w:r w:rsidRPr="008C02B1">
        <w:rPr>
          <w:rFonts w:cs="Arial"/>
          <w:i/>
          <w:iCs/>
          <w:noProof/>
          <w:sz w:val="20"/>
          <w:szCs w:val="24"/>
        </w:rPr>
        <w:t>BMJ Glob. Heal.</w:t>
      </w:r>
      <w:r w:rsidRPr="008C02B1">
        <w:rPr>
          <w:rFonts w:cs="Arial"/>
          <w:noProof/>
          <w:sz w:val="20"/>
          <w:szCs w:val="24"/>
        </w:rPr>
        <w:t xml:space="preserve"> </w:t>
      </w:r>
      <w:r w:rsidRPr="008C02B1">
        <w:rPr>
          <w:rFonts w:cs="Arial"/>
          <w:b/>
          <w:bCs/>
          <w:noProof/>
          <w:sz w:val="20"/>
          <w:szCs w:val="24"/>
        </w:rPr>
        <w:t>3</w:t>
      </w:r>
      <w:r w:rsidRPr="008C02B1">
        <w:rPr>
          <w:rFonts w:cs="Arial"/>
          <w:noProof/>
          <w:sz w:val="20"/>
          <w:szCs w:val="24"/>
        </w:rPr>
        <w:t>, e000506 (2018).</w:t>
      </w:r>
    </w:p>
    <w:p w14:paraId="607F9785" w14:textId="77777777" w:rsidR="008C02B1" w:rsidRPr="008C02B1" w:rsidRDefault="008C02B1" w:rsidP="008C02B1">
      <w:pPr>
        <w:widowControl w:val="0"/>
        <w:autoSpaceDE w:val="0"/>
        <w:autoSpaceDN w:val="0"/>
        <w:adjustRightInd w:val="0"/>
        <w:spacing w:line="240" w:lineRule="auto"/>
        <w:ind w:left="640" w:hanging="640"/>
        <w:rPr>
          <w:rFonts w:cs="Arial"/>
          <w:noProof/>
          <w:sz w:val="20"/>
          <w:szCs w:val="24"/>
        </w:rPr>
      </w:pPr>
      <w:r w:rsidRPr="008C02B1">
        <w:rPr>
          <w:rFonts w:cs="Arial"/>
          <w:noProof/>
          <w:sz w:val="20"/>
          <w:szCs w:val="24"/>
        </w:rPr>
        <w:t>44.</w:t>
      </w:r>
      <w:r w:rsidRPr="008C02B1">
        <w:rPr>
          <w:rFonts w:cs="Arial"/>
          <w:noProof/>
          <w:sz w:val="20"/>
          <w:szCs w:val="24"/>
        </w:rPr>
        <w:tab/>
      </w:r>
      <w:r w:rsidRPr="008C02B1">
        <w:rPr>
          <w:rFonts w:cs="Arial"/>
          <w:i/>
          <w:iCs/>
          <w:noProof/>
          <w:sz w:val="20"/>
          <w:szCs w:val="24"/>
        </w:rPr>
        <w:t>WHO Recommendations on the Management of Diarrhoea and Pneumonia in HIV-Infected Infants and Children</w:t>
      </w:r>
      <w:r w:rsidRPr="008C02B1">
        <w:rPr>
          <w:rFonts w:cs="Arial"/>
          <w:noProof/>
          <w:sz w:val="20"/>
          <w:szCs w:val="24"/>
        </w:rPr>
        <w:t xml:space="preserve">. </w:t>
      </w:r>
      <w:r w:rsidRPr="008C02B1">
        <w:rPr>
          <w:rFonts w:cs="Arial"/>
          <w:i/>
          <w:iCs/>
          <w:noProof/>
          <w:sz w:val="20"/>
          <w:szCs w:val="24"/>
        </w:rPr>
        <w:t>WHO Recommendations on the Management of Diarrhoea and Pneumonia in HIV-Infected Infants and Children: Integrated Management of Childhood Illness (IMCI)</w:t>
      </w:r>
      <w:r w:rsidRPr="008C02B1">
        <w:rPr>
          <w:rFonts w:cs="Arial"/>
          <w:noProof/>
          <w:sz w:val="20"/>
          <w:szCs w:val="24"/>
        </w:rPr>
        <w:t xml:space="preserve"> (World Health Organization, 2010).</w:t>
      </w:r>
    </w:p>
    <w:p w14:paraId="19E4AC26" w14:textId="77777777" w:rsidR="008C02B1" w:rsidRPr="008C02B1" w:rsidRDefault="008C02B1" w:rsidP="008C02B1">
      <w:pPr>
        <w:widowControl w:val="0"/>
        <w:autoSpaceDE w:val="0"/>
        <w:autoSpaceDN w:val="0"/>
        <w:adjustRightInd w:val="0"/>
        <w:spacing w:line="240" w:lineRule="auto"/>
        <w:ind w:left="640" w:hanging="640"/>
        <w:rPr>
          <w:rFonts w:cs="Arial"/>
          <w:noProof/>
          <w:sz w:val="20"/>
        </w:rPr>
      </w:pPr>
      <w:r w:rsidRPr="008C02B1">
        <w:rPr>
          <w:rFonts w:cs="Arial"/>
          <w:noProof/>
          <w:sz w:val="20"/>
          <w:szCs w:val="24"/>
        </w:rPr>
        <w:t>45.</w:t>
      </w:r>
      <w:r w:rsidRPr="008C02B1">
        <w:rPr>
          <w:rFonts w:cs="Arial"/>
          <w:noProof/>
          <w:sz w:val="20"/>
          <w:szCs w:val="24"/>
        </w:rPr>
        <w:tab/>
        <w:t xml:space="preserve">Johansson, E. W., Nsona, H., Carvajal-Aguirre, L., Amouzou, A. &amp; Hildenwall, H. Determinants of Integrated Management of hildhood Illness (IMCI) non-severe pneumonia classification and care in Malawi health facilities: Analysis of a national facility census. </w:t>
      </w:r>
      <w:r w:rsidRPr="008C02B1">
        <w:rPr>
          <w:rFonts w:cs="Arial"/>
          <w:i/>
          <w:iCs/>
          <w:noProof/>
          <w:sz w:val="20"/>
          <w:szCs w:val="24"/>
        </w:rPr>
        <w:t>J. Glob. Health</w:t>
      </w:r>
      <w:r w:rsidRPr="008C02B1">
        <w:rPr>
          <w:rFonts w:cs="Arial"/>
          <w:noProof/>
          <w:sz w:val="20"/>
          <w:szCs w:val="24"/>
        </w:rPr>
        <w:t xml:space="preserve"> </w:t>
      </w:r>
      <w:r w:rsidRPr="008C02B1">
        <w:rPr>
          <w:rFonts w:cs="Arial"/>
          <w:b/>
          <w:bCs/>
          <w:noProof/>
          <w:sz w:val="20"/>
          <w:szCs w:val="24"/>
        </w:rPr>
        <w:t>7</w:t>
      </w:r>
      <w:r w:rsidRPr="008C02B1">
        <w:rPr>
          <w:rFonts w:cs="Arial"/>
          <w:noProof/>
          <w:sz w:val="20"/>
          <w:szCs w:val="24"/>
        </w:rPr>
        <w:t>, (2017).</w:t>
      </w:r>
    </w:p>
    <w:p w14:paraId="0216DA93" w14:textId="72B48606" w:rsidR="00E42E1E" w:rsidRPr="003A2C44" w:rsidRDefault="00E42E1E" w:rsidP="003A2C44">
      <w:pPr>
        <w:ind w:firstLine="0"/>
        <w:rPr>
          <w:rFonts w:cs="Arial"/>
          <w:sz w:val="19"/>
          <w:szCs w:val="19"/>
        </w:rPr>
      </w:pPr>
      <w:r w:rsidRPr="003A2C44">
        <w:rPr>
          <w:rFonts w:cs="Arial"/>
          <w:sz w:val="19"/>
          <w:szCs w:val="19"/>
        </w:rPr>
        <w:fldChar w:fldCharType="end"/>
      </w:r>
    </w:p>
    <w:sectPr w:rsidR="00E42E1E" w:rsidRPr="003A2C44" w:rsidSect="0040395A">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5A168" w14:textId="77777777" w:rsidR="00E018E1" w:rsidRDefault="00E018E1" w:rsidP="0019235A">
      <w:pPr>
        <w:spacing w:after="0" w:line="240" w:lineRule="auto"/>
      </w:pPr>
      <w:r>
        <w:separator/>
      </w:r>
    </w:p>
  </w:endnote>
  <w:endnote w:type="continuationSeparator" w:id="0">
    <w:p w14:paraId="4959CF84" w14:textId="77777777" w:rsidR="00E018E1" w:rsidRDefault="00E018E1" w:rsidP="00192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9665D" w14:textId="77777777" w:rsidR="00E018E1" w:rsidRDefault="00E018E1" w:rsidP="0019235A">
      <w:pPr>
        <w:spacing w:after="0" w:line="240" w:lineRule="auto"/>
      </w:pPr>
      <w:r>
        <w:separator/>
      </w:r>
    </w:p>
  </w:footnote>
  <w:footnote w:type="continuationSeparator" w:id="0">
    <w:p w14:paraId="3A5F843A" w14:textId="77777777" w:rsidR="00E018E1" w:rsidRDefault="00E018E1" w:rsidP="0019235A">
      <w:pPr>
        <w:spacing w:after="0" w:line="240" w:lineRule="auto"/>
      </w:pPr>
      <w:r>
        <w:continuationSeparator/>
      </w:r>
    </w:p>
  </w:footnote>
  <w:footnote w:id="1">
    <w:p w14:paraId="2EC647A9" w14:textId="43316F28" w:rsidR="000979B2" w:rsidRDefault="000979B2">
      <w:pPr>
        <w:pStyle w:val="FootnoteText"/>
      </w:pPr>
      <w:r>
        <w:rPr>
          <w:rStyle w:val="FootnoteReference"/>
        </w:rPr>
        <w:footnoteRef/>
      </w:r>
      <w:r>
        <w:t xml:space="preserve"> Christian Health Association of Malawi (CHAM)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0C5"/>
    <w:multiLevelType w:val="hybridMultilevel"/>
    <w:tmpl w:val="7E202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81FB2"/>
    <w:multiLevelType w:val="multilevel"/>
    <w:tmpl w:val="585E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B6A69"/>
    <w:multiLevelType w:val="hybridMultilevel"/>
    <w:tmpl w:val="0CF0C2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910468"/>
    <w:multiLevelType w:val="hybridMultilevel"/>
    <w:tmpl w:val="5E5A3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A1CD6"/>
    <w:multiLevelType w:val="hybridMultilevel"/>
    <w:tmpl w:val="DDA6B460"/>
    <w:lvl w:ilvl="0" w:tplc="BA725A4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73603"/>
    <w:multiLevelType w:val="hybridMultilevel"/>
    <w:tmpl w:val="BA6899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4CB5A00"/>
    <w:multiLevelType w:val="hybridMultilevel"/>
    <w:tmpl w:val="EC5AE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426E90"/>
    <w:multiLevelType w:val="hybridMultilevel"/>
    <w:tmpl w:val="3392B25A"/>
    <w:lvl w:ilvl="0" w:tplc="B41C03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B6E7894"/>
    <w:multiLevelType w:val="hybridMultilevel"/>
    <w:tmpl w:val="0C64A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15:restartNumberingAfterBreak="0">
    <w:nsid w:val="1D144A0A"/>
    <w:multiLevelType w:val="hybridMultilevel"/>
    <w:tmpl w:val="AF6C7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671134"/>
    <w:multiLevelType w:val="hybridMultilevel"/>
    <w:tmpl w:val="9594E650"/>
    <w:lvl w:ilvl="0" w:tplc="2D4C05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B31AD"/>
    <w:multiLevelType w:val="hybridMultilevel"/>
    <w:tmpl w:val="3F6EE586"/>
    <w:lvl w:ilvl="0" w:tplc="429A798A">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DE48FE"/>
    <w:multiLevelType w:val="hybridMultilevel"/>
    <w:tmpl w:val="E67A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F90DEA"/>
    <w:multiLevelType w:val="hybridMultilevel"/>
    <w:tmpl w:val="EE363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0F7302"/>
    <w:multiLevelType w:val="hybridMultilevel"/>
    <w:tmpl w:val="742666BC"/>
    <w:lvl w:ilvl="0" w:tplc="CEAA067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413216"/>
    <w:multiLevelType w:val="hybridMultilevel"/>
    <w:tmpl w:val="4C420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F83DB9"/>
    <w:multiLevelType w:val="hybridMultilevel"/>
    <w:tmpl w:val="EE92077E"/>
    <w:lvl w:ilvl="0" w:tplc="2D4C05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0E5A6F"/>
    <w:multiLevelType w:val="hybridMultilevel"/>
    <w:tmpl w:val="1792C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6783018"/>
    <w:multiLevelType w:val="hybridMultilevel"/>
    <w:tmpl w:val="3F6EE586"/>
    <w:lvl w:ilvl="0" w:tplc="429A798A">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000B49"/>
    <w:multiLevelType w:val="hybridMultilevel"/>
    <w:tmpl w:val="5860C3D6"/>
    <w:lvl w:ilvl="0" w:tplc="4F446F26">
      <w:start w:val="5"/>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3B5BA2"/>
    <w:multiLevelType w:val="multilevel"/>
    <w:tmpl w:val="2A6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451CD7"/>
    <w:multiLevelType w:val="hybridMultilevel"/>
    <w:tmpl w:val="52806280"/>
    <w:lvl w:ilvl="0" w:tplc="EFBC9986">
      <w:start w:val="4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00804F0"/>
    <w:multiLevelType w:val="hybridMultilevel"/>
    <w:tmpl w:val="316EB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90C6503"/>
    <w:multiLevelType w:val="hybridMultilevel"/>
    <w:tmpl w:val="EBC81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771603"/>
    <w:multiLevelType w:val="hybridMultilevel"/>
    <w:tmpl w:val="21AC1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F76631"/>
    <w:multiLevelType w:val="hybridMultilevel"/>
    <w:tmpl w:val="9ECEB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613EB1"/>
    <w:multiLevelType w:val="hybridMultilevel"/>
    <w:tmpl w:val="BDE0D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A8D6C63"/>
    <w:multiLevelType w:val="hybridMultilevel"/>
    <w:tmpl w:val="BE6A99BA"/>
    <w:lvl w:ilvl="0" w:tplc="CEAA067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E21AB3"/>
    <w:multiLevelType w:val="hybridMultilevel"/>
    <w:tmpl w:val="3CBC6B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325F00"/>
    <w:multiLevelType w:val="multilevel"/>
    <w:tmpl w:val="9E48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8C0DE3"/>
    <w:multiLevelType w:val="multilevel"/>
    <w:tmpl w:val="BBB0C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30"/>
  </w:num>
  <w:num w:numId="3">
    <w:abstractNumId w:val="1"/>
  </w:num>
  <w:num w:numId="4">
    <w:abstractNumId w:val="22"/>
  </w:num>
  <w:num w:numId="5">
    <w:abstractNumId w:val="17"/>
  </w:num>
  <w:num w:numId="6">
    <w:abstractNumId w:val="13"/>
  </w:num>
  <w:num w:numId="7">
    <w:abstractNumId w:val="20"/>
  </w:num>
  <w:num w:numId="8">
    <w:abstractNumId w:val="7"/>
  </w:num>
  <w:num w:numId="9">
    <w:abstractNumId w:val="9"/>
  </w:num>
  <w:num w:numId="10">
    <w:abstractNumId w:val="25"/>
  </w:num>
  <w:num w:numId="11">
    <w:abstractNumId w:val="28"/>
  </w:num>
  <w:num w:numId="12">
    <w:abstractNumId w:val="24"/>
  </w:num>
  <w:num w:numId="13">
    <w:abstractNumId w:val="2"/>
  </w:num>
  <w:num w:numId="14">
    <w:abstractNumId w:val="3"/>
  </w:num>
  <w:num w:numId="15">
    <w:abstractNumId w:val="26"/>
  </w:num>
  <w:num w:numId="16">
    <w:abstractNumId w:val="14"/>
  </w:num>
  <w:num w:numId="17">
    <w:abstractNumId w:val="27"/>
  </w:num>
  <w:num w:numId="18">
    <w:abstractNumId w:val="23"/>
  </w:num>
  <w:num w:numId="19">
    <w:abstractNumId w:val="15"/>
  </w:num>
  <w:num w:numId="20">
    <w:abstractNumId w:val="6"/>
  </w:num>
  <w:num w:numId="21">
    <w:abstractNumId w:val="4"/>
  </w:num>
  <w:num w:numId="22">
    <w:abstractNumId w:val="21"/>
  </w:num>
  <w:num w:numId="23">
    <w:abstractNumId w:val="8"/>
  </w:num>
  <w:num w:numId="24">
    <w:abstractNumId w:val="16"/>
  </w:num>
  <w:num w:numId="25">
    <w:abstractNumId w:val="10"/>
  </w:num>
  <w:num w:numId="26">
    <w:abstractNumId w:val="5"/>
  </w:num>
  <w:num w:numId="27">
    <w:abstractNumId w:val="0"/>
  </w:num>
  <w:num w:numId="28">
    <w:abstractNumId w:val="12"/>
  </w:num>
  <w:num w:numId="29">
    <w:abstractNumId w:val="18"/>
  </w:num>
  <w:num w:numId="30">
    <w:abstractNumId w:val="1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717"/>
    <w:rsid w:val="0000109A"/>
    <w:rsid w:val="000019DA"/>
    <w:rsid w:val="00010DD8"/>
    <w:rsid w:val="00013867"/>
    <w:rsid w:val="0001613C"/>
    <w:rsid w:val="000165A4"/>
    <w:rsid w:val="00021D36"/>
    <w:rsid w:val="000243E8"/>
    <w:rsid w:val="00024CE2"/>
    <w:rsid w:val="00025CE3"/>
    <w:rsid w:val="0002797F"/>
    <w:rsid w:val="00031698"/>
    <w:rsid w:val="000364EE"/>
    <w:rsid w:val="000376BF"/>
    <w:rsid w:val="000400F6"/>
    <w:rsid w:val="000462A1"/>
    <w:rsid w:val="00051DD0"/>
    <w:rsid w:val="0005384D"/>
    <w:rsid w:val="00070D87"/>
    <w:rsid w:val="00072936"/>
    <w:rsid w:val="00072A00"/>
    <w:rsid w:val="00077601"/>
    <w:rsid w:val="00080784"/>
    <w:rsid w:val="00081D88"/>
    <w:rsid w:val="00083F3E"/>
    <w:rsid w:val="000910AD"/>
    <w:rsid w:val="0009442C"/>
    <w:rsid w:val="00094547"/>
    <w:rsid w:val="00094FC7"/>
    <w:rsid w:val="000979B2"/>
    <w:rsid w:val="000A08BE"/>
    <w:rsid w:val="000A1764"/>
    <w:rsid w:val="000A203E"/>
    <w:rsid w:val="000A4195"/>
    <w:rsid w:val="000A489A"/>
    <w:rsid w:val="000A7603"/>
    <w:rsid w:val="000B1F19"/>
    <w:rsid w:val="000B4B03"/>
    <w:rsid w:val="000C2077"/>
    <w:rsid w:val="000C2B4A"/>
    <w:rsid w:val="000C3F21"/>
    <w:rsid w:val="000C520A"/>
    <w:rsid w:val="000C6ED4"/>
    <w:rsid w:val="000D054F"/>
    <w:rsid w:val="000D0D65"/>
    <w:rsid w:val="000D29EA"/>
    <w:rsid w:val="000D59DE"/>
    <w:rsid w:val="000D6CA1"/>
    <w:rsid w:val="000D7488"/>
    <w:rsid w:val="000E3E26"/>
    <w:rsid w:val="000E4F03"/>
    <w:rsid w:val="000F21E6"/>
    <w:rsid w:val="000F26B7"/>
    <w:rsid w:val="000F420F"/>
    <w:rsid w:val="000F6DC3"/>
    <w:rsid w:val="000F7AEA"/>
    <w:rsid w:val="000F7E9C"/>
    <w:rsid w:val="001002CD"/>
    <w:rsid w:val="001076B7"/>
    <w:rsid w:val="00110A68"/>
    <w:rsid w:val="00112AF5"/>
    <w:rsid w:val="00113307"/>
    <w:rsid w:val="00117A30"/>
    <w:rsid w:val="00121C1D"/>
    <w:rsid w:val="001341D9"/>
    <w:rsid w:val="00141CD4"/>
    <w:rsid w:val="001451A9"/>
    <w:rsid w:val="001454A8"/>
    <w:rsid w:val="00150DDF"/>
    <w:rsid w:val="00151E23"/>
    <w:rsid w:val="00154C1A"/>
    <w:rsid w:val="00157CF8"/>
    <w:rsid w:val="0016037E"/>
    <w:rsid w:val="0016147C"/>
    <w:rsid w:val="00163B4C"/>
    <w:rsid w:val="00164B76"/>
    <w:rsid w:val="00167AE9"/>
    <w:rsid w:val="00167D30"/>
    <w:rsid w:val="00171077"/>
    <w:rsid w:val="00181AF1"/>
    <w:rsid w:val="001832D8"/>
    <w:rsid w:val="00183642"/>
    <w:rsid w:val="00190B0D"/>
    <w:rsid w:val="0019235A"/>
    <w:rsid w:val="001A0B0F"/>
    <w:rsid w:val="001A0D21"/>
    <w:rsid w:val="001B37C9"/>
    <w:rsid w:val="001B6FDA"/>
    <w:rsid w:val="001B79C6"/>
    <w:rsid w:val="001C4870"/>
    <w:rsid w:val="001C7D0A"/>
    <w:rsid w:val="001E1820"/>
    <w:rsid w:val="001E1982"/>
    <w:rsid w:val="001E58A3"/>
    <w:rsid w:val="001F007D"/>
    <w:rsid w:val="001F1E2C"/>
    <w:rsid w:val="001F6BA2"/>
    <w:rsid w:val="001F6C9F"/>
    <w:rsid w:val="00200171"/>
    <w:rsid w:val="0020060C"/>
    <w:rsid w:val="00200E0C"/>
    <w:rsid w:val="00211BAF"/>
    <w:rsid w:val="00212ED9"/>
    <w:rsid w:val="00215BA9"/>
    <w:rsid w:val="00220915"/>
    <w:rsid w:val="00233130"/>
    <w:rsid w:val="00233414"/>
    <w:rsid w:val="00233C8B"/>
    <w:rsid w:val="00234EBB"/>
    <w:rsid w:val="0024090A"/>
    <w:rsid w:val="00242769"/>
    <w:rsid w:val="00250B77"/>
    <w:rsid w:val="002515AD"/>
    <w:rsid w:val="002526F2"/>
    <w:rsid w:val="0025448C"/>
    <w:rsid w:val="00261D28"/>
    <w:rsid w:val="002632FD"/>
    <w:rsid w:val="002638E8"/>
    <w:rsid w:val="00264257"/>
    <w:rsid w:val="0026767A"/>
    <w:rsid w:val="00270C9B"/>
    <w:rsid w:val="00281DDA"/>
    <w:rsid w:val="00283DB6"/>
    <w:rsid w:val="0028402D"/>
    <w:rsid w:val="002851C4"/>
    <w:rsid w:val="00291AF3"/>
    <w:rsid w:val="00291BCC"/>
    <w:rsid w:val="00294234"/>
    <w:rsid w:val="00294FCF"/>
    <w:rsid w:val="002954DA"/>
    <w:rsid w:val="00296232"/>
    <w:rsid w:val="002B27AE"/>
    <w:rsid w:val="002B45F0"/>
    <w:rsid w:val="002B6717"/>
    <w:rsid w:val="002C0789"/>
    <w:rsid w:val="002C0F11"/>
    <w:rsid w:val="002C198F"/>
    <w:rsid w:val="002D4904"/>
    <w:rsid w:val="002D59EE"/>
    <w:rsid w:val="002E082B"/>
    <w:rsid w:val="002E5AF9"/>
    <w:rsid w:val="002F0B39"/>
    <w:rsid w:val="002F6BEC"/>
    <w:rsid w:val="0030148F"/>
    <w:rsid w:val="0030184C"/>
    <w:rsid w:val="0030681D"/>
    <w:rsid w:val="00307BAC"/>
    <w:rsid w:val="0031183B"/>
    <w:rsid w:val="00312C28"/>
    <w:rsid w:val="00313606"/>
    <w:rsid w:val="00313E73"/>
    <w:rsid w:val="00313FCC"/>
    <w:rsid w:val="00316A07"/>
    <w:rsid w:val="00316F08"/>
    <w:rsid w:val="003173D3"/>
    <w:rsid w:val="00320244"/>
    <w:rsid w:val="00322A90"/>
    <w:rsid w:val="00323B13"/>
    <w:rsid w:val="00326D95"/>
    <w:rsid w:val="0033050A"/>
    <w:rsid w:val="003329DD"/>
    <w:rsid w:val="00334E78"/>
    <w:rsid w:val="00336D30"/>
    <w:rsid w:val="00340F29"/>
    <w:rsid w:val="00342E6F"/>
    <w:rsid w:val="003440F7"/>
    <w:rsid w:val="00345A7D"/>
    <w:rsid w:val="003471C0"/>
    <w:rsid w:val="003478FD"/>
    <w:rsid w:val="0034796E"/>
    <w:rsid w:val="00352D00"/>
    <w:rsid w:val="00352DFA"/>
    <w:rsid w:val="003541A0"/>
    <w:rsid w:val="003550B3"/>
    <w:rsid w:val="00357144"/>
    <w:rsid w:val="0036150C"/>
    <w:rsid w:val="00365377"/>
    <w:rsid w:val="00367F97"/>
    <w:rsid w:val="00380231"/>
    <w:rsid w:val="00381150"/>
    <w:rsid w:val="00381BE2"/>
    <w:rsid w:val="00382524"/>
    <w:rsid w:val="00382555"/>
    <w:rsid w:val="00383E9F"/>
    <w:rsid w:val="00385BF0"/>
    <w:rsid w:val="00387028"/>
    <w:rsid w:val="003946B6"/>
    <w:rsid w:val="0039588C"/>
    <w:rsid w:val="003A20A3"/>
    <w:rsid w:val="003A2C44"/>
    <w:rsid w:val="003A30F9"/>
    <w:rsid w:val="003A43C9"/>
    <w:rsid w:val="003A73B5"/>
    <w:rsid w:val="003A7DA9"/>
    <w:rsid w:val="003A7F62"/>
    <w:rsid w:val="003B28C7"/>
    <w:rsid w:val="003B37CD"/>
    <w:rsid w:val="003B43BA"/>
    <w:rsid w:val="003C35F0"/>
    <w:rsid w:val="003C5A72"/>
    <w:rsid w:val="003C78B3"/>
    <w:rsid w:val="003D0F9C"/>
    <w:rsid w:val="003D41D6"/>
    <w:rsid w:val="003D6D22"/>
    <w:rsid w:val="003D79A1"/>
    <w:rsid w:val="003E3E9F"/>
    <w:rsid w:val="003E4EE9"/>
    <w:rsid w:val="003F204A"/>
    <w:rsid w:val="003F63F2"/>
    <w:rsid w:val="00400738"/>
    <w:rsid w:val="0040209C"/>
    <w:rsid w:val="0040395A"/>
    <w:rsid w:val="004044B7"/>
    <w:rsid w:val="00406122"/>
    <w:rsid w:val="00411BDF"/>
    <w:rsid w:val="00414296"/>
    <w:rsid w:val="00416127"/>
    <w:rsid w:val="00416D35"/>
    <w:rsid w:val="00420474"/>
    <w:rsid w:val="004249D9"/>
    <w:rsid w:val="0042607F"/>
    <w:rsid w:val="0043123C"/>
    <w:rsid w:val="004318AD"/>
    <w:rsid w:val="00431E57"/>
    <w:rsid w:val="00435BD8"/>
    <w:rsid w:val="00443FBB"/>
    <w:rsid w:val="00454457"/>
    <w:rsid w:val="00455511"/>
    <w:rsid w:val="00455C93"/>
    <w:rsid w:val="0045624A"/>
    <w:rsid w:val="00457750"/>
    <w:rsid w:val="00462DE9"/>
    <w:rsid w:val="0046307C"/>
    <w:rsid w:val="004678CB"/>
    <w:rsid w:val="00472BB4"/>
    <w:rsid w:val="004744F5"/>
    <w:rsid w:val="00476EFD"/>
    <w:rsid w:val="004809A8"/>
    <w:rsid w:val="004869A5"/>
    <w:rsid w:val="00491483"/>
    <w:rsid w:val="00492266"/>
    <w:rsid w:val="00492E82"/>
    <w:rsid w:val="004A1528"/>
    <w:rsid w:val="004A7F1D"/>
    <w:rsid w:val="004B2519"/>
    <w:rsid w:val="004B293C"/>
    <w:rsid w:val="004B3EF6"/>
    <w:rsid w:val="004C3F90"/>
    <w:rsid w:val="004C4D54"/>
    <w:rsid w:val="004C75F3"/>
    <w:rsid w:val="004C7ABA"/>
    <w:rsid w:val="004D0634"/>
    <w:rsid w:val="004D0AEE"/>
    <w:rsid w:val="004D0EC8"/>
    <w:rsid w:val="004D75D6"/>
    <w:rsid w:val="004E3F37"/>
    <w:rsid w:val="004E4AD9"/>
    <w:rsid w:val="004F01D1"/>
    <w:rsid w:val="004F15F0"/>
    <w:rsid w:val="004F1688"/>
    <w:rsid w:val="005008AD"/>
    <w:rsid w:val="00501B89"/>
    <w:rsid w:val="0050248B"/>
    <w:rsid w:val="0050299A"/>
    <w:rsid w:val="0050345F"/>
    <w:rsid w:val="005038A0"/>
    <w:rsid w:val="00503916"/>
    <w:rsid w:val="005055D0"/>
    <w:rsid w:val="005069E5"/>
    <w:rsid w:val="00506B45"/>
    <w:rsid w:val="00511147"/>
    <w:rsid w:val="00512845"/>
    <w:rsid w:val="00513253"/>
    <w:rsid w:val="00513E12"/>
    <w:rsid w:val="00514158"/>
    <w:rsid w:val="00521AC9"/>
    <w:rsid w:val="005273AF"/>
    <w:rsid w:val="005409DB"/>
    <w:rsid w:val="00542F7F"/>
    <w:rsid w:val="00546A49"/>
    <w:rsid w:val="00552659"/>
    <w:rsid w:val="00553DF7"/>
    <w:rsid w:val="0055669F"/>
    <w:rsid w:val="00556E36"/>
    <w:rsid w:val="005570E2"/>
    <w:rsid w:val="005601C7"/>
    <w:rsid w:val="005602B9"/>
    <w:rsid w:val="00561C97"/>
    <w:rsid w:val="00561E7C"/>
    <w:rsid w:val="00576204"/>
    <w:rsid w:val="005762CA"/>
    <w:rsid w:val="005764DB"/>
    <w:rsid w:val="00577D91"/>
    <w:rsid w:val="00577FCB"/>
    <w:rsid w:val="00583149"/>
    <w:rsid w:val="005845C5"/>
    <w:rsid w:val="00594333"/>
    <w:rsid w:val="00594C50"/>
    <w:rsid w:val="00596257"/>
    <w:rsid w:val="00596D67"/>
    <w:rsid w:val="005A1DA3"/>
    <w:rsid w:val="005A2A2A"/>
    <w:rsid w:val="005A361A"/>
    <w:rsid w:val="005A7D29"/>
    <w:rsid w:val="005B0A36"/>
    <w:rsid w:val="005B442A"/>
    <w:rsid w:val="005B68D1"/>
    <w:rsid w:val="005B7579"/>
    <w:rsid w:val="005C37D0"/>
    <w:rsid w:val="005C5DFF"/>
    <w:rsid w:val="005D0E54"/>
    <w:rsid w:val="005D1036"/>
    <w:rsid w:val="005D360A"/>
    <w:rsid w:val="005D521E"/>
    <w:rsid w:val="005D7B96"/>
    <w:rsid w:val="005E053E"/>
    <w:rsid w:val="005E18F4"/>
    <w:rsid w:val="005F1213"/>
    <w:rsid w:val="005F1B0E"/>
    <w:rsid w:val="005F1BF3"/>
    <w:rsid w:val="005F47FF"/>
    <w:rsid w:val="006012DA"/>
    <w:rsid w:val="0060194F"/>
    <w:rsid w:val="00613990"/>
    <w:rsid w:val="00614266"/>
    <w:rsid w:val="00621E92"/>
    <w:rsid w:val="00622ED1"/>
    <w:rsid w:val="0062408C"/>
    <w:rsid w:val="006310BD"/>
    <w:rsid w:val="00636F4C"/>
    <w:rsid w:val="006417B4"/>
    <w:rsid w:val="00645DCD"/>
    <w:rsid w:val="00646274"/>
    <w:rsid w:val="00646460"/>
    <w:rsid w:val="006570BE"/>
    <w:rsid w:val="0066172F"/>
    <w:rsid w:val="006625A5"/>
    <w:rsid w:val="006629BB"/>
    <w:rsid w:val="00664711"/>
    <w:rsid w:val="00664BB3"/>
    <w:rsid w:val="006702C3"/>
    <w:rsid w:val="00671AF3"/>
    <w:rsid w:val="00671C9A"/>
    <w:rsid w:val="00682833"/>
    <w:rsid w:val="006854C7"/>
    <w:rsid w:val="006868D5"/>
    <w:rsid w:val="0069219B"/>
    <w:rsid w:val="006923F9"/>
    <w:rsid w:val="00693684"/>
    <w:rsid w:val="00694642"/>
    <w:rsid w:val="00695172"/>
    <w:rsid w:val="006A0229"/>
    <w:rsid w:val="006A291F"/>
    <w:rsid w:val="006A4D0B"/>
    <w:rsid w:val="006B1D22"/>
    <w:rsid w:val="006B2DED"/>
    <w:rsid w:val="006B318E"/>
    <w:rsid w:val="006B34DE"/>
    <w:rsid w:val="006B3B1C"/>
    <w:rsid w:val="006B6B3F"/>
    <w:rsid w:val="006C24FC"/>
    <w:rsid w:val="006C33D1"/>
    <w:rsid w:val="006C4370"/>
    <w:rsid w:val="006C47C2"/>
    <w:rsid w:val="006C56D5"/>
    <w:rsid w:val="006C7679"/>
    <w:rsid w:val="006D191A"/>
    <w:rsid w:val="006D1DBC"/>
    <w:rsid w:val="006D1E42"/>
    <w:rsid w:val="006D2DBA"/>
    <w:rsid w:val="006D55FE"/>
    <w:rsid w:val="006D6121"/>
    <w:rsid w:val="006D6419"/>
    <w:rsid w:val="006D751C"/>
    <w:rsid w:val="006E3669"/>
    <w:rsid w:val="006E501F"/>
    <w:rsid w:val="006F0315"/>
    <w:rsid w:val="006F2FEE"/>
    <w:rsid w:val="006F422F"/>
    <w:rsid w:val="006F506F"/>
    <w:rsid w:val="006F581D"/>
    <w:rsid w:val="007028BB"/>
    <w:rsid w:val="00704AB0"/>
    <w:rsid w:val="00706A41"/>
    <w:rsid w:val="007108AD"/>
    <w:rsid w:val="00711356"/>
    <w:rsid w:val="00712CFF"/>
    <w:rsid w:val="00723434"/>
    <w:rsid w:val="00725C35"/>
    <w:rsid w:val="00726838"/>
    <w:rsid w:val="0073170B"/>
    <w:rsid w:val="007326C2"/>
    <w:rsid w:val="007339E8"/>
    <w:rsid w:val="00736BFA"/>
    <w:rsid w:val="0074090A"/>
    <w:rsid w:val="00753834"/>
    <w:rsid w:val="00754F5C"/>
    <w:rsid w:val="00755772"/>
    <w:rsid w:val="0075691F"/>
    <w:rsid w:val="00760296"/>
    <w:rsid w:val="00765DF9"/>
    <w:rsid w:val="00776EDC"/>
    <w:rsid w:val="007806E1"/>
    <w:rsid w:val="007852B6"/>
    <w:rsid w:val="007857BC"/>
    <w:rsid w:val="00790D5F"/>
    <w:rsid w:val="00793430"/>
    <w:rsid w:val="00793878"/>
    <w:rsid w:val="00796310"/>
    <w:rsid w:val="007A07F0"/>
    <w:rsid w:val="007A1BDC"/>
    <w:rsid w:val="007A39D7"/>
    <w:rsid w:val="007A3E4A"/>
    <w:rsid w:val="007A42FC"/>
    <w:rsid w:val="007A7E7F"/>
    <w:rsid w:val="007B0D77"/>
    <w:rsid w:val="007B12BD"/>
    <w:rsid w:val="007B359E"/>
    <w:rsid w:val="007B506E"/>
    <w:rsid w:val="007B5832"/>
    <w:rsid w:val="007B59BA"/>
    <w:rsid w:val="007C2B3E"/>
    <w:rsid w:val="007C42C9"/>
    <w:rsid w:val="007C5DBB"/>
    <w:rsid w:val="007C6589"/>
    <w:rsid w:val="007D56D4"/>
    <w:rsid w:val="007E0145"/>
    <w:rsid w:val="007E1EA9"/>
    <w:rsid w:val="007E5164"/>
    <w:rsid w:val="007F2E44"/>
    <w:rsid w:val="007F53C5"/>
    <w:rsid w:val="007F7E10"/>
    <w:rsid w:val="007F7F99"/>
    <w:rsid w:val="00804175"/>
    <w:rsid w:val="00810498"/>
    <w:rsid w:val="00810C89"/>
    <w:rsid w:val="0081461D"/>
    <w:rsid w:val="0082105D"/>
    <w:rsid w:val="00823B6C"/>
    <w:rsid w:val="00826D33"/>
    <w:rsid w:val="00827C62"/>
    <w:rsid w:val="008313FF"/>
    <w:rsid w:val="00841CF0"/>
    <w:rsid w:val="00847EA0"/>
    <w:rsid w:val="0085002A"/>
    <w:rsid w:val="00850921"/>
    <w:rsid w:val="00851695"/>
    <w:rsid w:val="00851995"/>
    <w:rsid w:val="00852A24"/>
    <w:rsid w:val="00856DFE"/>
    <w:rsid w:val="008602E1"/>
    <w:rsid w:val="00861552"/>
    <w:rsid w:val="00863A1A"/>
    <w:rsid w:val="00867A29"/>
    <w:rsid w:val="00872E03"/>
    <w:rsid w:val="008754E3"/>
    <w:rsid w:val="00877324"/>
    <w:rsid w:val="00877EE7"/>
    <w:rsid w:val="00892D59"/>
    <w:rsid w:val="0089375A"/>
    <w:rsid w:val="00893BA6"/>
    <w:rsid w:val="00893DB5"/>
    <w:rsid w:val="00894780"/>
    <w:rsid w:val="00897412"/>
    <w:rsid w:val="008A2678"/>
    <w:rsid w:val="008B0223"/>
    <w:rsid w:val="008C02B1"/>
    <w:rsid w:val="008C0F39"/>
    <w:rsid w:val="008C1DC2"/>
    <w:rsid w:val="008C4662"/>
    <w:rsid w:val="008C6902"/>
    <w:rsid w:val="008D436F"/>
    <w:rsid w:val="008D43F0"/>
    <w:rsid w:val="008D5BAC"/>
    <w:rsid w:val="008D6280"/>
    <w:rsid w:val="008D7113"/>
    <w:rsid w:val="008E3E2B"/>
    <w:rsid w:val="008E703B"/>
    <w:rsid w:val="008F0972"/>
    <w:rsid w:val="008F19C8"/>
    <w:rsid w:val="008F2F48"/>
    <w:rsid w:val="00901C12"/>
    <w:rsid w:val="0090289C"/>
    <w:rsid w:val="009056AD"/>
    <w:rsid w:val="00912FE0"/>
    <w:rsid w:val="0091459D"/>
    <w:rsid w:val="00916CAF"/>
    <w:rsid w:val="00916CB4"/>
    <w:rsid w:val="00917DF6"/>
    <w:rsid w:val="009260FC"/>
    <w:rsid w:val="009266A6"/>
    <w:rsid w:val="0093192F"/>
    <w:rsid w:val="00931C6E"/>
    <w:rsid w:val="00937E26"/>
    <w:rsid w:val="00943763"/>
    <w:rsid w:val="009451ED"/>
    <w:rsid w:val="009455AF"/>
    <w:rsid w:val="0094565A"/>
    <w:rsid w:val="00950682"/>
    <w:rsid w:val="009521F1"/>
    <w:rsid w:val="00955C7D"/>
    <w:rsid w:val="0096049D"/>
    <w:rsid w:val="00961975"/>
    <w:rsid w:val="00961A44"/>
    <w:rsid w:val="00963BB3"/>
    <w:rsid w:val="00966E95"/>
    <w:rsid w:val="0097034B"/>
    <w:rsid w:val="00971246"/>
    <w:rsid w:val="00976BD6"/>
    <w:rsid w:val="00980EB7"/>
    <w:rsid w:val="00983B63"/>
    <w:rsid w:val="009841C0"/>
    <w:rsid w:val="00984EEE"/>
    <w:rsid w:val="00987E86"/>
    <w:rsid w:val="00991A35"/>
    <w:rsid w:val="00991CC0"/>
    <w:rsid w:val="00992A07"/>
    <w:rsid w:val="00993124"/>
    <w:rsid w:val="0099562A"/>
    <w:rsid w:val="009968D4"/>
    <w:rsid w:val="00997513"/>
    <w:rsid w:val="009A0F7D"/>
    <w:rsid w:val="009A3057"/>
    <w:rsid w:val="009A449C"/>
    <w:rsid w:val="009A4AF4"/>
    <w:rsid w:val="009A4C1A"/>
    <w:rsid w:val="009A51D2"/>
    <w:rsid w:val="009A5686"/>
    <w:rsid w:val="009A5CE2"/>
    <w:rsid w:val="009B62A4"/>
    <w:rsid w:val="009C0618"/>
    <w:rsid w:val="009C4E5F"/>
    <w:rsid w:val="009C5003"/>
    <w:rsid w:val="009D0420"/>
    <w:rsid w:val="009D0864"/>
    <w:rsid w:val="009D127D"/>
    <w:rsid w:val="009D1296"/>
    <w:rsid w:val="009D29C1"/>
    <w:rsid w:val="009D2C88"/>
    <w:rsid w:val="009D6EBE"/>
    <w:rsid w:val="009E07FE"/>
    <w:rsid w:val="009E3E7A"/>
    <w:rsid w:val="009E6CF0"/>
    <w:rsid w:val="009F23FC"/>
    <w:rsid w:val="009F36E8"/>
    <w:rsid w:val="009F54BF"/>
    <w:rsid w:val="00A1783D"/>
    <w:rsid w:val="00A21CE7"/>
    <w:rsid w:val="00A223CC"/>
    <w:rsid w:val="00A2520B"/>
    <w:rsid w:val="00A26081"/>
    <w:rsid w:val="00A26DCD"/>
    <w:rsid w:val="00A3159A"/>
    <w:rsid w:val="00A32F28"/>
    <w:rsid w:val="00A341CA"/>
    <w:rsid w:val="00A35F82"/>
    <w:rsid w:val="00A362FC"/>
    <w:rsid w:val="00A367A0"/>
    <w:rsid w:val="00A36978"/>
    <w:rsid w:val="00A36F85"/>
    <w:rsid w:val="00A377B6"/>
    <w:rsid w:val="00A4288F"/>
    <w:rsid w:val="00A45CAA"/>
    <w:rsid w:val="00A4616C"/>
    <w:rsid w:val="00A465EF"/>
    <w:rsid w:val="00A47A04"/>
    <w:rsid w:val="00A50CB3"/>
    <w:rsid w:val="00A51154"/>
    <w:rsid w:val="00A51B9A"/>
    <w:rsid w:val="00A520F5"/>
    <w:rsid w:val="00A52562"/>
    <w:rsid w:val="00A52C66"/>
    <w:rsid w:val="00A53231"/>
    <w:rsid w:val="00A56228"/>
    <w:rsid w:val="00A602C8"/>
    <w:rsid w:val="00A6089D"/>
    <w:rsid w:val="00A671E1"/>
    <w:rsid w:val="00A73B5B"/>
    <w:rsid w:val="00A804B1"/>
    <w:rsid w:val="00A84A3B"/>
    <w:rsid w:val="00A87C5C"/>
    <w:rsid w:val="00A94687"/>
    <w:rsid w:val="00A96C21"/>
    <w:rsid w:val="00A97203"/>
    <w:rsid w:val="00AA5795"/>
    <w:rsid w:val="00AB0FB0"/>
    <w:rsid w:val="00AB4497"/>
    <w:rsid w:val="00AB640E"/>
    <w:rsid w:val="00AB760B"/>
    <w:rsid w:val="00AC0017"/>
    <w:rsid w:val="00AC594C"/>
    <w:rsid w:val="00AD0DF1"/>
    <w:rsid w:val="00AD3811"/>
    <w:rsid w:val="00AD44DB"/>
    <w:rsid w:val="00AD749E"/>
    <w:rsid w:val="00AE0F25"/>
    <w:rsid w:val="00AF2977"/>
    <w:rsid w:val="00AF76CA"/>
    <w:rsid w:val="00B00837"/>
    <w:rsid w:val="00B00D2D"/>
    <w:rsid w:val="00B111A1"/>
    <w:rsid w:val="00B113F4"/>
    <w:rsid w:val="00B11FDE"/>
    <w:rsid w:val="00B3148B"/>
    <w:rsid w:val="00B54D68"/>
    <w:rsid w:val="00B61F9E"/>
    <w:rsid w:val="00B61FAD"/>
    <w:rsid w:val="00B637AB"/>
    <w:rsid w:val="00B63D3C"/>
    <w:rsid w:val="00B67028"/>
    <w:rsid w:val="00B731C8"/>
    <w:rsid w:val="00B74188"/>
    <w:rsid w:val="00B74B2D"/>
    <w:rsid w:val="00B75F5A"/>
    <w:rsid w:val="00B769A3"/>
    <w:rsid w:val="00B80871"/>
    <w:rsid w:val="00B83010"/>
    <w:rsid w:val="00B848F0"/>
    <w:rsid w:val="00B8542C"/>
    <w:rsid w:val="00B8648D"/>
    <w:rsid w:val="00B8730A"/>
    <w:rsid w:val="00B87A27"/>
    <w:rsid w:val="00BA0BA3"/>
    <w:rsid w:val="00BA45DE"/>
    <w:rsid w:val="00BA66B9"/>
    <w:rsid w:val="00BB060F"/>
    <w:rsid w:val="00BB0E93"/>
    <w:rsid w:val="00BB18AA"/>
    <w:rsid w:val="00BB5322"/>
    <w:rsid w:val="00BC11A2"/>
    <w:rsid w:val="00BC2F5D"/>
    <w:rsid w:val="00BD3E92"/>
    <w:rsid w:val="00BD5853"/>
    <w:rsid w:val="00BD596D"/>
    <w:rsid w:val="00BE1197"/>
    <w:rsid w:val="00BE1DBB"/>
    <w:rsid w:val="00BE36BC"/>
    <w:rsid w:val="00BE5B95"/>
    <w:rsid w:val="00BE5D49"/>
    <w:rsid w:val="00BF42B6"/>
    <w:rsid w:val="00BF544A"/>
    <w:rsid w:val="00BF5F97"/>
    <w:rsid w:val="00BF6FD9"/>
    <w:rsid w:val="00C07AA7"/>
    <w:rsid w:val="00C12F59"/>
    <w:rsid w:val="00C15067"/>
    <w:rsid w:val="00C21F7B"/>
    <w:rsid w:val="00C25165"/>
    <w:rsid w:val="00C256C0"/>
    <w:rsid w:val="00C27161"/>
    <w:rsid w:val="00C321AA"/>
    <w:rsid w:val="00C349B8"/>
    <w:rsid w:val="00C37D25"/>
    <w:rsid w:val="00C42EE8"/>
    <w:rsid w:val="00C51453"/>
    <w:rsid w:val="00C549E8"/>
    <w:rsid w:val="00C55BA2"/>
    <w:rsid w:val="00C5756E"/>
    <w:rsid w:val="00C576C5"/>
    <w:rsid w:val="00C57810"/>
    <w:rsid w:val="00C67AD5"/>
    <w:rsid w:val="00C70BEA"/>
    <w:rsid w:val="00C70E65"/>
    <w:rsid w:val="00C72014"/>
    <w:rsid w:val="00C732C6"/>
    <w:rsid w:val="00C81FB3"/>
    <w:rsid w:val="00C838C7"/>
    <w:rsid w:val="00C8470B"/>
    <w:rsid w:val="00C869D8"/>
    <w:rsid w:val="00C872DB"/>
    <w:rsid w:val="00C87F09"/>
    <w:rsid w:val="00C91055"/>
    <w:rsid w:val="00C97B5E"/>
    <w:rsid w:val="00CA007B"/>
    <w:rsid w:val="00CA0F9C"/>
    <w:rsid w:val="00CA11B4"/>
    <w:rsid w:val="00CA22AD"/>
    <w:rsid w:val="00CB1511"/>
    <w:rsid w:val="00CB1FEF"/>
    <w:rsid w:val="00CC06A2"/>
    <w:rsid w:val="00CC44AF"/>
    <w:rsid w:val="00CC61B9"/>
    <w:rsid w:val="00CD0FF0"/>
    <w:rsid w:val="00CD1394"/>
    <w:rsid w:val="00CD1A7F"/>
    <w:rsid w:val="00CD1FC7"/>
    <w:rsid w:val="00CD6C14"/>
    <w:rsid w:val="00CE09EB"/>
    <w:rsid w:val="00CE7A34"/>
    <w:rsid w:val="00CE7FC3"/>
    <w:rsid w:val="00CF1D93"/>
    <w:rsid w:val="00CF1DEB"/>
    <w:rsid w:val="00CF5659"/>
    <w:rsid w:val="00CF5AF8"/>
    <w:rsid w:val="00CF5CB4"/>
    <w:rsid w:val="00CF6610"/>
    <w:rsid w:val="00D015B2"/>
    <w:rsid w:val="00D04E71"/>
    <w:rsid w:val="00D07681"/>
    <w:rsid w:val="00D07AB3"/>
    <w:rsid w:val="00D10C9F"/>
    <w:rsid w:val="00D171FD"/>
    <w:rsid w:val="00D219BF"/>
    <w:rsid w:val="00D23906"/>
    <w:rsid w:val="00D3097B"/>
    <w:rsid w:val="00D3243A"/>
    <w:rsid w:val="00D34405"/>
    <w:rsid w:val="00D3639C"/>
    <w:rsid w:val="00D43043"/>
    <w:rsid w:val="00D55EB1"/>
    <w:rsid w:val="00D62463"/>
    <w:rsid w:val="00D624D6"/>
    <w:rsid w:val="00D6376F"/>
    <w:rsid w:val="00D708EB"/>
    <w:rsid w:val="00D83509"/>
    <w:rsid w:val="00D87CB0"/>
    <w:rsid w:val="00D93E45"/>
    <w:rsid w:val="00D95FCC"/>
    <w:rsid w:val="00D96003"/>
    <w:rsid w:val="00D977EA"/>
    <w:rsid w:val="00D978AB"/>
    <w:rsid w:val="00DA0AEF"/>
    <w:rsid w:val="00DA14CB"/>
    <w:rsid w:val="00DA35AA"/>
    <w:rsid w:val="00DA5BB7"/>
    <w:rsid w:val="00DB4F2A"/>
    <w:rsid w:val="00DC1686"/>
    <w:rsid w:val="00DC6F13"/>
    <w:rsid w:val="00DD4832"/>
    <w:rsid w:val="00DE1717"/>
    <w:rsid w:val="00DE7156"/>
    <w:rsid w:val="00DF5172"/>
    <w:rsid w:val="00DF5C01"/>
    <w:rsid w:val="00E00B81"/>
    <w:rsid w:val="00E01721"/>
    <w:rsid w:val="00E018E1"/>
    <w:rsid w:val="00E04594"/>
    <w:rsid w:val="00E06E75"/>
    <w:rsid w:val="00E07BAB"/>
    <w:rsid w:val="00E127F4"/>
    <w:rsid w:val="00E13031"/>
    <w:rsid w:val="00E1527C"/>
    <w:rsid w:val="00E17B61"/>
    <w:rsid w:val="00E22D9C"/>
    <w:rsid w:val="00E26249"/>
    <w:rsid w:val="00E26F3D"/>
    <w:rsid w:val="00E3093D"/>
    <w:rsid w:val="00E31097"/>
    <w:rsid w:val="00E33F62"/>
    <w:rsid w:val="00E35611"/>
    <w:rsid w:val="00E3611B"/>
    <w:rsid w:val="00E368DC"/>
    <w:rsid w:val="00E40094"/>
    <w:rsid w:val="00E40562"/>
    <w:rsid w:val="00E42E1E"/>
    <w:rsid w:val="00E53FF0"/>
    <w:rsid w:val="00E604C2"/>
    <w:rsid w:val="00E60C91"/>
    <w:rsid w:val="00E62BE7"/>
    <w:rsid w:val="00E665C0"/>
    <w:rsid w:val="00E72A8C"/>
    <w:rsid w:val="00E74CAD"/>
    <w:rsid w:val="00E81A6C"/>
    <w:rsid w:val="00E8215F"/>
    <w:rsid w:val="00E864CF"/>
    <w:rsid w:val="00E9156C"/>
    <w:rsid w:val="00E93F16"/>
    <w:rsid w:val="00EA3A53"/>
    <w:rsid w:val="00EA62E9"/>
    <w:rsid w:val="00EA643B"/>
    <w:rsid w:val="00EB1D88"/>
    <w:rsid w:val="00EC0776"/>
    <w:rsid w:val="00EC7035"/>
    <w:rsid w:val="00EC757D"/>
    <w:rsid w:val="00EC7DBB"/>
    <w:rsid w:val="00ED3B2F"/>
    <w:rsid w:val="00EE24C5"/>
    <w:rsid w:val="00EE2566"/>
    <w:rsid w:val="00EE436D"/>
    <w:rsid w:val="00EF14A7"/>
    <w:rsid w:val="00EF5354"/>
    <w:rsid w:val="00EF7EF7"/>
    <w:rsid w:val="00F01BCA"/>
    <w:rsid w:val="00F03454"/>
    <w:rsid w:val="00F03A1D"/>
    <w:rsid w:val="00F13E46"/>
    <w:rsid w:val="00F14CD7"/>
    <w:rsid w:val="00F16CAD"/>
    <w:rsid w:val="00F16F24"/>
    <w:rsid w:val="00F17BB0"/>
    <w:rsid w:val="00F20411"/>
    <w:rsid w:val="00F20D32"/>
    <w:rsid w:val="00F21097"/>
    <w:rsid w:val="00F23F55"/>
    <w:rsid w:val="00F26513"/>
    <w:rsid w:val="00F3100B"/>
    <w:rsid w:val="00F31BC9"/>
    <w:rsid w:val="00F42406"/>
    <w:rsid w:val="00F424D7"/>
    <w:rsid w:val="00F42619"/>
    <w:rsid w:val="00F468E6"/>
    <w:rsid w:val="00F50FA1"/>
    <w:rsid w:val="00F60A7E"/>
    <w:rsid w:val="00F616C8"/>
    <w:rsid w:val="00F6314E"/>
    <w:rsid w:val="00F6449C"/>
    <w:rsid w:val="00F65C22"/>
    <w:rsid w:val="00F70651"/>
    <w:rsid w:val="00F7271D"/>
    <w:rsid w:val="00F742AA"/>
    <w:rsid w:val="00F759ED"/>
    <w:rsid w:val="00F75AD5"/>
    <w:rsid w:val="00F76D3E"/>
    <w:rsid w:val="00F83092"/>
    <w:rsid w:val="00F856C9"/>
    <w:rsid w:val="00F93D91"/>
    <w:rsid w:val="00F9466E"/>
    <w:rsid w:val="00F946F9"/>
    <w:rsid w:val="00F967DE"/>
    <w:rsid w:val="00FA3193"/>
    <w:rsid w:val="00FA3334"/>
    <w:rsid w:val="00FA4F62"/>
    <w:rsid w:val="00FB0888"/>
    <w:rsid w:val="00FB11DB"/>
    <w:rsid w:val="00FB1A0F"/>
    <w:rsid w:val="00FB3FBB"/>
    <w:rsid w:val="00FB640F"/>
    <w:rsid w:val="00FC0641"/>
    <w:rsid w:val="00FC0A70"/>
    <w:rsid w:val="00FC165B"/>
    <w:rsid w:val="00FC2280"/>
    <w:rsid w:val="00FD03FA"/>
    <w:rsid w:val="00FD06AC"/>
    <w:rsid w:val="00FD0975"/>
    <w:rsid w:val="00FE4F0F"/>
    <w:rsid w:val="00FE6303"/>
    <w:rsid w:val="00FF0DE9"/>
    <w:rsid w:val="00FF2060"/>
    <w:rsid w:val="00FF56C9"/>
    <w:rsid w:val="00FF699E"/>
    <w:rsid w:val="00FF6AAC"/>
    <w:rsid w:val="00FF6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45C77"/>
  <w15:chartTrackingRefBased/>
  <w15:docId w15:val="{7A624E82-3A96-4A30-8BB0-659C4ABA2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A00"/>
    <w:pPr>
      <w:spacing w:after="120" w:line="276" w:lineRule="auto"/>
      <w:ind w:firstLine="720"/>
      <w:contextualSpacing/>
      <w:jc w:val="both"/>
    </w:pPr>
    <w:rPr>
      <w:rFonts w:ascii="Arial" w:hAnsi="Arial"/>
    </w:rPr>
  </w:style>
  <w:style w:type="paragraph" w:styleId="Heading1">
    <w:name w:val="heading 1"/>
    <w:basedOn w:val="Normal"/>
    <w:next w:val="Normal"/>
    <w:link w:val="Heading1Char"/>
    <w:uiPriority w:val="9"/>
    <w:qFormat/>
    <w:rsid w:val="00991A35"/>
    <w:pPr>
      <w:keepNext/>
      <w:keepLines/>
      <w:spacing w:after="0"/>
      <w:ind w:firstLine="0"/>
      <w:outlineLvl w:val="0"/>
    </w:pPr>
    <w:rPr>
      <w:rFonts w:eastAsiaTheme="majorEastAsia" w:cstheme="majorBidi"/>
      <w:b/>
      <w:color w:val="2F5496" w:themeColor="accent5" w:themeShade="BF"/>
      <w:sz w:val="28"/>
      <w:szCs w:val="32"/>
    </w:rPr>
  </w:style>
  <w:style w:type="paragraph" w:styleId="Heading2">
    <w:name w:val="heading 2"/>
    <w:basedOn w:val="Normal"/>
    <w:next w:val="Normal"/>
    <w:link w:val="Heading2Char"/>
    <w:uiPriority w:val="9"/>
    <w:unhideWhenUsed/>
    <w:qFormat/>
    <w:rsid w:val="003D6D22"/>
    <w:pPr>
      <w:keepNext/>
      <w:keepLines/>
      <w:spacing w:after="0"/>
      <w:ind w:firstLine="0"/>
      <w:outlineLvl w:val="1"/>
    </w:pPr>
    <w:rPr>
      <w:rFonts w:eastAsiaTheme="majorEastAsia" w:cstheme="majorBidi"/>
      <w:b/>
      <w:color w:val="1F4E79" w:themeColor="accent1" w:themeShade="80"/>
      <w:sz w:val="25"/>
      <w:szCs w:val="26"/>
    </w:rPr>
  </w:style>
  <w:style w:type="paragraph" w:styleId="Heading3">
    <w:name w:val="heading 3"/>
    <w:basedOn w:val="Normal"/>
    <w:next w:val="Normal"/>
    <w:link w:val="Heading3Char"/>
    <w:uiPriority w:val="9"/>
    <w:unhideWhenUsed/>
    <w:qFormat/>
    <w:rsid w:val="003D6D22"/>
    <w:pPr>
      <w:keepNext/>
      <w:keepLines/>
      <w:spacing w:before="40" w:after="0"/>
      <w:ind w:firstLine="0"/>
      <w:outlineLvl w:val="2"/>
    </w:pPr>
    <w:rPr>
      <w:rFonts w:eastAsiaTheme="majorEastAsia" w:cstheme="majorBidi"/>
      <w:b/>
      <w:color w:val="1F3864" w:themeColor="accent5" w:themeShade="80"/>
      <w:sz w:val="24"/>
      <w:szCs w:val="24"/>
    </w:rPr>
  </w:style>
  <w:style w:type="paragraph" w:styleId="Heading4">
    <w:name w:val="heading 4"/>
    <w:basedOn w:val="Normal"/>
    <w:next w:val="Normal"/>
    <w:link w:val="Heading4Char"/>
    <w:uiPriority w:val="9"/>
    <w:unhideWhenUsed/>
    <w:qFormat/>
    <w:rsid w:val="003D6D22"/>
    <w:pPr>
      <w:keepNext/>
      <w:keepLines/>
      <w:spacing w:before="40" w:after="0"/>
      <w:ind w:firstLine="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6D22"/>
    <w:rPr>
      <w:rFonts w:ascii="Arial" w:eastAsiaTheme="majorEastAsia" w:hAnsi="Arial" w:cstheme="majorBidi"/>
      <w:b/>
      <w:color w:val="1F4E79" w:themeColor="accent1" w:themeShade="80"/>
      <w:sz w:val="25"/>
      <w:szCs w:val="26"/>
    </w:rPr>
  </w:style>
  <w:style w:type="character" w:customStyle="1" w:styleId="Heading3Char">
    <w:name w:val="Heading 3 Char"/>
    <w:basedOn w:val="DefaultParagraphFont"/>
    <w:link w:val="Heading3"/>
    <w:uiPriority w:val="9"/>
    <w:rsid w:val="003D6D22"/>
    <w:rPr>
      <w:rFonts w:ascii="Arial" w:eastAsiaTheme="majorEastAsia" w:hAnsi="Arial" w:cstheme="majorBidi"/>
      <w:b/>
      <w:color w:val="1F3864" w:themeColor="accent5" w:themeShade="80"/>
      <w:sz w:val="24"/>
      <w:szCs w:val="24"/>
    </w:rPr>
  </w:style>
  <w:style w:type="character" w:styleId="CommentReference">
    <w:name w:val="annotation reference"/>
    <w:basedOn w:val="DefaultParagraphFont"/>
    <w:uiPriority w:val="99"/>
    <w:semiHidden/>
    <w:unhideWhenUsed/>
    <w:rsid w:val="006C56D5"/>
    <w:rPr>
      <w:sz w:val="18"/>
      <w:szCs w:val="18"/>
    </w:rPr>
  </w:style>
  <w:style w:type="paragraph" w:styleId="CommentText">
    <w:name w:val="annotation text"/>
    <w:basedOn w:val="Normal"/>
    <w:link w:val="CommentTextChar"/>
    <w:uiPriority w:val="99"/>
    <w:unhideWhenUsed/>
    <w:rsid w:val="006C56D5"/>
    <w:rPr>
      <w:sz w:val="24"/>
      <w:szCs w:val="24"/>
    </w:rPr>
  </w:style>
  <w:style w:type="character" w:customStyle="1" w:styleId="CommentTextChar">
    <w:name w:val="Comment Text Char"/>
    <w:basedOn w:val="DefaultParagraphFont"/>
    <w:link w:val="CommentText"/>
    <w:uiPriority w:val="99"/>
    <w:rsid w:val="006C56D5"/>
    <w:rPr>
      <w:sz w:val="24"/>
      <w:szCs w:val="24"/>
    </w:rPr>
  </w:style>
  <w:style w:type="table" w:styleId="TableGrid">
    <w:name w:val="Table Grid"/>
    <w:basedOn w:val="TableNormal"/>
    <w:uiPriority w:val="39"/>
    <w:rsid w:val="006C5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rmal2"/>
    <w:link w:val="NoSpacingChar"/>
    <w:uiPriority w:val="1"/>
    <w:qFormat/>
    <w:rsid w:val="007B5832"/>
    <w:pPr>
      <w:spacing w:after="0" w:line="240" w:lineRule="auto"/>
    </w:pPr>
    <w:rPr>
      <w:rFonts w:ascii="Arial" w:hAnsi="Arial"/>
      <w:sz w:val="21"/>
    </w:rPr>
  </w:style>
  <w:style w:type="paragraph" w:styleId="BalloonText">
    <w:name w:val="Balloon Text"/>
    <w:basedOn w:val="Normal"/>
    <w:link w:val="BalloonTextChar"/>
    <w:uiPriority w:val="99"/>
    <w:semiHidden/>
    <w:unhideWhenUsed/>
    <w:rsid w:val="00D624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46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64BB3"/>
    <w:rPr>
      <w:b/>
      <w:bCs/>
      <w:sz w:val="20"/>
      <w:szCs w:val="20"/>
    </w:rPr>
  </w:style>
  <w:style w:type="character" w:customStyle="1" w:styleId="CommentSubjectChar">
    <w:name w:val="Comment Subject Char"/>
    <w:basedOn w:val="CommentTextChar"/>
    <w:link w:val="CommentSubject"/>
    <w:uiPriority w:val="99"/>
    <w:semiHidden/>
    <w:rsid w:val="00664BB3"/>
    <w:rPr>
      <w:b/>
      <w:bCs/>
      <w:sz w:val="20"/>
      <w:szCs w:val="20"/>
    </w:rPr>
  </w:style>
  <w:style w:type="table" w:styleId="GridTable1Light-Accent5">
    <w:name w:val="Grid Table 1 Light Accent 5"/>
    <w:basedOn w:val="TableNormal"/>
    <w:uiPriority w:val="46"/>
    <w:rsid w:val="006570B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textline">
    <w:name w:val="text_line"/>
    <w:basedOn w:val="DefaultParagraphFont"/>
    <w:rsid w:val="00A96C21"/>
  </w:style>
  <w:style w:type="character" w:customStyle="1" w:styleId="validlink">
    <w:name w:val="valid_link"/>
    <w:basedOn w:val="DefaultParagraphFont"/>
    <w:rsid w:val="00A96C21"/>
  </w:style>
  <w:style w:type="character" w:customStyle="1" w:styleId="term-highlight">
    <w:name w:val="term-highlight"/>
    <w:basedOn w:val="DefaultParagraphFont"/>
    <w:rsid w:val="002D4904"/>
  </w:style>
  <w:style w:type="character" w:styleId="Hyperlink">
    <w:name w:val="Hyperlink"/>
    <w:basedOn w:val="DefaultParagraphFont"/>
    <w:uiPriority w:val="99"/>
    <w:unhideWhenUsed/>
    <w:rsid w:val="00980EB7"/>
    <w:rPr>
      <w:color w:val="0000FF"/>
      <w:u w:val="single"/>
    </w:rPr>
  </w:style>
  <w:style w:type="character" w:styleId="Emphasis">
    <w:name w:val="Emphasis"/>
    <w:basedOn w:val="DefaultParagraphFont"/>
    <w:uiPriority w:val="20"/>
    <w:qFormat/>
    <w:rsid w:val="00F23F55"/>
    <w:rPr>
      <w:i/>
      <w:iCs/>
    </w:rPr>
  </w:style>
  <w:style w:type="paragraph" w:styleId="NormalWeb">
    <w:name w:val="Normal (Web)"/>
    <w:basedOn w:val="Normal"/>
    <w:uiPriority w:val="99"/>
    <w:unhideWhenUsed/>
    <w:rsid w:val="00695172"/>
    <w:pPr>
      <w:spacing w:before="100" w:beforeAutospacing="1" w:after="100" w:afterAutospacing="1"/>
      <w:ind w:firstLine="0"/>
      <w:jc w:val="left"/>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991A35"/>
    <w:rPr>
      <w:rFonts w:eastAsiaTheme="majorEastAsia" w:cstheme="majorBidi"/>
      <w:b/>
      <w:color w:val="2F5496" w:themeColor="accent5" w:themeShade="BF"/>
      <w:sz w:val="28"/>
      <w:szCs w:val="32"/>
    </w:rPr>
  </w:style>
  <w:style w:type="character" w:styleId="Strong">
    <w:name w:val="Strong"/>
    <w:basedOn w:val="DefaultParagraphFont"/>
    <w:uiPriority w:val="22"/>
    <w:qFormat/>
    <w:rsid w:val="00810C89"/>
    <w:rPr>
      <w:b/>
      <w:bCs/>
    </w:rPr>
  </w:style>
  <w:style w:type="paragraph" w:styleId="ListParagraph">
    <w:name w:val="List Paragraph"/>
    <w:basedOn w:val="Normal"/>
    <w:uiPriority w:val="34"/>
    <w:qFormat/>
    <w:rsid w:val="00BE5B95"/>
    <w:pPr>
      <w:ind w:left="720"/>
    </w:pPr>
  </w:style>
  <w:style w:type="paragraph" w:styleId="Revision">
    <w:name w:val="Revision"/>
    <w:hidden/>
    <w:uiPriority w:val="99"/>
    <w:semiHidden/>
    <w:rsid w:val="000D0D65"/>
    <w:pPr>
      <w:spacing w:after="0" w:line="240" w:lineRule="auto"/>
    </w:pPr>
    <w:rPr>
      <w:sz w:val="21"/>
    </w:rPr>
  </w:style>
  <w:style w:type="character" w:customStyle="1" w:styleId="enumerator">
    <w:name w:val="enumerator"/>
    <w:basedOn w:val="DefaultParagraphFont"/>
    <w:rsid w:val="005B68D1"/>
  </w:style>
  <w:style w:type="character" w:styleId="FollowedHyperlink">
    <w:name w:val="FollowedHyperlink"/>
    <w:basedOn w:val="DefaultParagraphFont"/>
    <w:uiPriority w:val="99"/>
    <w:semiHidden/>
    <w:unhideWhenUsed/>
    <w:rsid w:val="00D977EA"/>
    <w:rPr>
      <w:color w:val="954F72" w:themeColor="followedHyperlink"/>
      <w:u w:val="single"/>
    </w:rPr>
  </w:style>
  <w:style w:type="character" w:customStyle="1" w:styleId="ej-keyword">
    <w:name w:val="ej-keyword"/>
    <w:basedOn w:val="DefaultParagraphFont"/>
    <w:rsid w:val="00BB0E93"/>
  </w:style>
  <w:style w:type="character" w:customStyle="1" w:styleId="Heading4Char">
    <w:name w:val="Heading 4 Char"/>
    <w:basedOn w:val="DefaultParagraphFont"/>
    <w:link w:val="Heading4"/>
    <w:uiPriority w:val="9"/>
    <w:rsid w:val="003D6D22"/>
    <w:rPr>
      <w:rFonts w:ascii="Arial" w:eastAsiaTheme="majorEastAsia" w:hAnsi="Arial" w:cstheme="majorBidi"/>
      <w:b/>
      <w:iCs/>
    </w:rPr>
  </w:style>
  <w:style w:type="table" w:styleId="TableGridLight">
    <w:name w:val="Grid Table Light"/>
    <w:basedOn w:val="TableNormal"/>
    <w:uiPriority w:val="40"/>
    <w:rsid w:val="00CF5A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1923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35A"/>
  </w:style>
  <w:style w:type="paragraph" w:styleId="Footer">
    <w:name w:val="footer"/>
    <w:basedOn w:val="Normal"/>
    <w:link w:val="FooterChar"/>
    <w:uiPriority w:val="99"/>
    <w:unhideWhenUsed/>
    <w:rsid w:val="001923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35A"/>
  </w:style>
  <w:style w:type="character" w:customStyle="1" w:styleId="title-text">
    <w:name w:val="title-text"/>
    <w:basedOn w:val="DefaultParagraphFont"/>
    <w:rsid w:val="00991CC0"/>
  </w:style>
  <w:style w:type="character" w:customStyle="1" w:styleId="a">
    <w:name w:val="_"/>
    <w:basedOn w:val="DefaultParagraphFont"/>
    <w:rsid w:val="00CD1A7F"/>
  </w:style>
  <w:style w:type="character" w:customStyle="1" w:styleId="ff9">
    <w:name w:val="ff9"/>
    <w:basedOn w:val="DefaultParagraphFont"/>
    <w:rsid w:val="00CD1A7F"/>
  </w:style>
  <w:style w:type="character" w:customStyle="1" w:styleId="r-search-result">
    <w:name w:val="r-search-result"/>
    <w:basedOn w:val="DefaultParagraphFont"/>
    <w:rsid w:val="00CD1A7F"/>
  </w:style>
  <w:style w:type="paragraph" w:styleId="HTMLPreformatted">
    <w:name w:val="HTML Preformatted"/>
    <w:basedOn w:val="Normal"/>
    <w:link w:val="HTMLPreformattedChar"/>
    <w:uiPriority w:val="99"/>
    <w:semiHidden/>
    <w:unhideWhenUsed/>
    <w:rsid w:val="00E31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contextualSpacing w:val="0"/>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E31097"/>
    <w:rPr>
      <w:rFonts w:ascii="Courier New" w:eastAsia="Times New Roman" w:hAnsi="Courier New" w:cs="Courier New"/>
      <w:sz w:val="20"/>
      <w:szCs w:val="20"/>
      <w:lang w:eastAsia="en-GB"/>
    </w:rPr>
  </w:style>
  <w:style w:type="character" w:customStyle="1" w:styleId="NoSpacingChar">
    <w:name w:val="No Spacing Char"/>
    <w:aliases w:val="normal2 Char"/>
    <w:basedOn w:val="DefaultParagraphFont"/>
    <w:link w:val="NoSpacing"/>
    <w:uiPriority w:val="1"/>
    <w:rsid w:val="007B5832"/>
    <w:rPr>
      <w:rFonts w:ascii="Arial" w:hAnsi="Arial"/>
      <w:sz w:val="21"/>
    </w:rPr>
  </w:style>
  <w:style w:type="paragraph" w:styleId="Caption">
    <w:name w:val="caption"/>
    <w:basedOn w:val="Normal"/>
    <w:next w:val="Normal"/>
    <w:uiPriority w:val="35"/>
    <w:unhideWhenUsed/>
    <w:qFormat/>
    <w:rsid w:val="00B8648D"/>
    <w:pPr>
      <w:spacing w:before="120" w:after="0" w:line="240" w:lineRule="auto"/>
      <w:ind w:firstLine="0"/>
    </w:pPr>
    <w:rPr>
      <w:rFonts w:eastAsiaTheme="minorEastAsia"/>
      <w:b/>
      <w:iCs/>
      <w:sz w:val="21"/>
      <w:szCs w:val="18"/>
    </w:rPr>
  </w:style>
  <w:style w:type="table" w:customStyle="1" w:styleId="TableGrid1">
    <w:name w:val="Table Grid1"/>
    <w:basedOn w:val="TableNormal"/>
    <w:next w:val="TableGrid"/>
    <w:uiPriority w:val="39"/>
    <w:rsid w:val="00E3109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E31097"/>
    <w:pPr>
      <w:spacing w:after="0" w:line="240" w:lineRule="auto"/>
    </w:pPr>
    <w:rPr>
      <w:rFonts w:eastAsiaTheme="minorEastAsia"/>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
    <w:name w:val="Grid Table 1 Light"/>
    <w:basedOn w:val="TableNormal"/>
    <w:uiPriority w:val="46"/>
    <w:rsid w:val="00E31097"/>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ubtleReference">
    <w:name w:val="Subtle Reference"/>
    <w:aliases w:val="legend"/>
    <w:basedOn w:val="DefaultParagraphFont"/>
    <w:uiPriority w:val="31"/>
    <w:qFormat/>
    <w:rsid w:val="00B8648D"/>
    <w:rPr>
      <w:rFonts w:ascii="Arial" w:hAnsi="Arial"/>
      <w:b w:val="0"/>
      <w:caps w:val="0"/>
      <w:smallCaps w:val="0"/>
      <w:vanish w:val="0"/>
      <w:color w:val="auto"/>
      <w:sz w:val="19"/>
      <w:u w:val="none" w:color="7F7F7F" w:themeColor="text1" w:themeTint="80"/>
    </w:rPr>
  </w:style>
  <w:style w:type="paragraph" w:styleId="TOC1">
    <w:name w:val="toc 1"/>
    <w:basedOn w:val="Normal"/>
    <w:next w:val="Normal"/>
    <w:autoRedefine/>
    <w:uiPriority w:val="39"/>
    <w:unhideWhenUsed/>
    <w:rsid w:val="00A87C5C"/>
    <w:pPr>
      <w:spacing w:before="360" w:after="360"/>
      <w:ind w:firstLine="0"/>
      <w:jc w:val="left"/>
    </w:pPr>
    <w:rPr>
      <w:rFonts w:asciiTheme="minorHAnsi" w:hAnsiTheme="minorHAnsi" w:cstheme="minorHAnsi"/>
      <w:b/>
      <w:bCs/>
      <w:caps/>
      <w:u w:val="single"/>
    </w:rPr>
  </w:style>
  <w:style w:type="paragraph" w:styleId="TOC2">
    <w:name w:val="toc 2"/>
    <w:basedOn w:val="Normal"/>
    <w:next w:val="Normal"/>
    <w:autoRedefine/>
    <w:uiPriority w:val="39"/>
    <w:unhideWhenUsed/>
    <w:rsid w:val="00A87C5C"/>
    <w:pPr>
      <w:spacing w:after="0"/>
      <w:ind w:firstLine="0"/>
      <w:jc w:val="left"/>
    </w:pPr>
    <w:rPr>
      <w:rFonts w:asciiTheme="minorHAnsi" w:hAnsiTheme="minorHAnsi" w:cstheme="minorHAnsi"/>
      <w:b/>
      <w:bCs/>
      <w:smallCaps/>
    </w:rPr>
  </w:style>
  <w:style w:type="paragraph" w:styleId="TOC3">
    <w:name w:val="toc 3"/>
    <w:basedOn w:val="Normal"/>
    <w:next w:val="Normal"/>
    <w:autoRedefine/>
    <w:uiPriority w:val="39"/>
    <w:unhideWhenUsed/>
    <w:rsid w:val="00A87C5C"/>
    <w:pPr>
      <w:spacing w:after="0"/>
      <w:ind w:firstLine="0"/>
      <w:jc w:val="left"/>
    </w:pPr>
    <w:rPr>
      <w:rFonts w:asciiTheme="minorHAnsi" w:hAnsiTheme="minorHAnsi" w:cstheme="minorHAnsi"/>
      <w:smallCaps/>
    </w:rPr>
  </w:style>
  <w:style w:type="paragraph" w:styleId="TOC4">
    <w:name w:val="toc 4"/>
    <w:basedOn w:val="Normal"/>
    <w:next w:val="Normal"/>
    <w:autoRedefine/>
    <w:uiPriority w:val="39"/>
    <w:unhideWhenUsed/>
    <w:rsid w:val="00A87C5C"/>
    <w:pPr>
      <w:spacing w:after="0"/>
      <w:ind w:firstLine="0"/>
      <w:jc w:val="left"/>
    </w:pPr>
    <w:rPr>
      <w:rFonts w:asciiTheme="minorHAnsi" w:hAnsiTheme="minorHAnsi" w:cstheme="minorHAnsi"/>
    </w:rPr>
  </w:style>
  <w:style w:type="paragraph" w:styleId="TOC5">
    <w:name w:val="toc 5"/>
    <w:basedOn w:val="Normal"/>
    <w:next w:val="Normal"/>
    <w:autoRedefine/>
    <w:uiPriority w:val="39"/>
    <w:unhideWhenUsed/>
    <w:rsid w:val="00A87C5C"/>
    <w:pPr>
      <w:spacing w:after="0"/>
      <w:ind w:firstLine="0"/>
      <w:jc w:val="left"/>
    </w:pPr>
    <w:rPr>
      <w:rFonts w:asciiTheme="minorHAnsi" w:hAnsiTheme="minorHAnsi" w:cstheme="minorHAnsi"/>
    </w:rPr>
  </w:style>
  <w:style w:type="paragraph" w:styleId="TOC6">
    <w:name w:val="toc 6"/>
    <w:basedOn w:val="Normal"/>
    <w:next w:val="Normal"/>
    <w:autoRedefine/>
    <w:uiPriority w:val="39"/>
    <w:unhideWhenUsed/>
    <w:rsid w:val="00A87C5C"/>
    <w:pPr>
      <w:spacing w:after="0"/>
      <w:ind w:firstLine="0"/>
      <w:jc w:val="left"/>
    </w:pPr>
    <w:rPr>
      <w:rFonts w:asciiTheme="minorHAnsi" w:hAnsiTheme="minorHAnsi" w:cstheme="minorHAnsi"/>
    </w:rPr>
  </w:style>
  <w:style w:type="paragraph" w:styleId="TOC7">
    <w:name w:val="toc 7"/>
    <w:basedOn w:val="Normal"/>
    <w:next w:val="Normal"/>
    <w:autoRedefine/>
    <w:uiPriority w:val="39"/>
    <w:unhideWhenUsed/>
    <w:rsid w:val="00A87C5C"/>
    <w:pPr>
      <w:spacing w:after="0"/>
      <w:ind w:firstLine="0"/>
      <w:jc w:val="left"/>
    </w:pPr>
    <w:rPr>
      <w:rFonts w:asciiTheme="minorHAnsi" w:hAnsiTheme="minorHAnsi" w:cstheme="minorHAnsi"/>
    </w:rPr>
  </w:style>
  <w:style w:type="paragraph" w:styleId="TOC8">
    <w:name w:val="toc 8"/>
    <w:basedOn w:val="Normal"/>
    <w:next w:val="Normal"/>
    <w:autoRedefine/>
    <w:uiPriority w:val="39"/>
    <w:unhideWhenUsed/>
    <w:rsid w:val="00A87C5C"/>
    <w:pPr>
      <w:spacing w:after="0"/>
      <w:ind w:firstLine="0"/>
      <w:jc w:val="left"/>
    </w:pPr>
    <w:rPr>
      <w:rFonts w:asciiTheme="minorHAnsi" w:hAnsiTheme="minorHAnsi" w:cstheme="minorHAnsi"/>
    </w:rPr>
  </w:style>
  <w:style w:type="paragraph" w:styleId="TOC9">
    <w:name w:val="toc 9"/>
    <w:basedOn w:val="Normal"/>
    <w:next w:val="Normal"/>
    <w:autoRedefine/>
    <w:uiPriority w:val="39"/>
    <w:unhideWhenUsed/>
    <w:rsid w:val="00A87C5C"/>
    <w:pPr>
      <w:spacing w:after="0"/>
      <w:ind w:firstLine="0"/>
      <w:jc w:val="left"/>
    </w:pPr>
    <w:rPr>
      <w:rFonts w:asciiTheme="minorHAnsi" w:hAnsiTheme="minorHAnsi" w:cstheme="minorHAnsi"/>
    </w:rPr>
  </w:style>
  <w:style w:type="paragraph" w:styleId="EndnoteText">
    <w:name w:val="endnote text"/>
    <w:basedOn w:val="Normal"/>
    <w:link w:val="EndnoteTextChar"/>
    <w:uiPriority w:val="99"/>
    <w:semiHidden/>
    <w:unhideWhenUsed/>
    <w:rsid w:val="00C732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32C6"/>
    <w:rPr>
      <w:rFonts w:ascii="Arial" w:hAnsi="Arial"/>
      <w:sz w:val="20"/>
      <w:szCs w:val="20"/>
    </w:rPr>
  </w:style>
  <w:style w:type="character" w:styleId="EndnoteReference">
    <w:name w:val="endnote reference"/>
    <w:basedOn w:val="DefaultParagraphFont"/>
    <w:uiPriority w:val="99"/>
    <w:semiHidden/>
    <w:unhideWhenUsed/>
    <w:rsid w:val="00C732C6"/>
    <w:rPr>
      <w:vertAlign w:val="superscript"/>
    </w:rPr>
  </w:style>
  <w:style w:type="paragraph" w:styleId="FootnoteText">
    <w:name w:val="footnote text"/>
    <w:basedOn w:val="Normal"/>
    <w:link w:val="FootnoteTextChar"/>
    <w:uiPriority w:val="99"/>
    <w:semiHidden/>
    <w:unhideWhenUsed/>
    <w:rsid w:val="00C732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32C6"/>
    <w:rPr>
      <w:rFonts w:ascii="Arial" w:hAnsi="Arial"/>
      <w:sz w:val="20"/>
      <w:szCs w:val="20"/>
    </w:rPr>
  </w:style>
  <w:style w:type="character" w:styleId="FootnoteReference">
    <w:name w:val="footnote reference"/>
    <w:basedOn w:val="DefaultParagraphFont"/>
    <w:uiPriority w:val="99"/>
    <w:semiHidden/>
    <w:unhideWhenUsed/>
    <w:rsid w:val="00C732C6"/>
    <w:rPr>
      <w:vertAlign w:val="superscript"/>
    </w:rPr>
  </w:style>
  <w:style w:type="character" w:customStyle="1" w:styleId="UnresolvedMention1">
    <w:name w:val="Unresolved Mention1"/>
    <w:basedOn w:val="DefaultParagraphFont"/>
    <w:uiPriority w:val="99"/>
    <w:semiHidden/>
    <w:unhideWhenUsed/>
    <w:rsid w:val="00D93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7096">
      <w:bodyDiv w:val="1"/>
      <w:marLeft w:val="0"/>
      <w:marRight w:val="0"/>
      <w:marTop w:val="0"/>
      <w:marBottom w:val="0"/>
      <w:divBdr>
        <w:top w:val="none" w:sz="0" w:space="0" w:color="auto"/>
        <w:left w:val="none" w:sz="0" w:space="0" w:color="auto"/>
        <w:bottom w:val="none" w:sz="0" w:space="0" w:color="auto"/>
        <w:right w:val="none" w:sz="0" w:space="0" w:color="auto"/>
      </w:divBdr>
    </w:div>
    <w:div w:id="52000523">
      <w:bodyDiv w:val="1"/>
      <w:marLeft w:val="0"/>
      <w:marRight w:val="0"/>
      <w:marTop w:val="0"/>
      <w:marBottom w:val="0"/>
      <w:divBdr>
        <w:top w:val="none" w:sz="0" w:space="0" w:color="auto"/>
        <w:left w:val="none" w:sz="0" w:space="0" w:color="auto"/>
        <w:bottom w:val="none" w:sz="0" w:space="0" w:color="auto"/>
        <w:right w:val="none" w:sz="0" w:space="0" w:color="auto"/>
      </w:divBdr>
      <w:divsChild>
        <w:div w:id="320961690">
          <w:marLeft w:val="0"/>
          <w:marRight w:val="0"/>
          <w:marTop w:val="0"/>
          <w:marBottom w:val="0"/>
          <w:divBdr>
            <w:top w:val="none" w:sz="0" w:space="0" w:color="auto"/>
            <w:left w:val="none" w:sz="0" w:space="0" w:color="auto"/>
            <w:bottom w:val="none" w:sz="0" w:space="0" w:color="auto"/>
            <w:right w:val="none" w:sz="0" w:space="0" w:color="auto"/>
          </w:divBdr>
        </w:div>
        <w:div w:id="614336567">
          <w:marLeft w:val="0"/>
          <w:marRight w:val="0"/>
          <w:marTop w:val="0"/>
          <w:marBottom w:val="0"/>
          <w:divBdr>
            <w:top w:val="none" w:sz="0" w:space="0" w:color="auto"/>
            <w:left w:val="none" w:sz="0" w:space="0" w:color="auto"/>
            <w:bottom w:val="none" w:sz="0" w:space="0" w:color="auto"/>
            <w:right w:val="none" w:sz="0" w:space="0" w:color="auto"/>
          </w:divBdr>
        </w:div>
        <w:div w:id="665474933">
          <w:marLeft w:val="0"/>
          <w:marRight w:val="0"/>
          <w:marTop w:val="0"/>
          <w:marBottom w:val="0"/>
          <w:divBdr>
            <w:top w:val="none" w:sz="0" w:space="0" w:color="auto"/>
            <w:left w:val="none" w:sz="0" w:space="0" w:color="auto"/>
            <w:bottom w:val="none" w:sz="0" w:space="0" w:color="auto"/>
            <w:right w:val="none" w:sz="0" w:space="0" w:color="auto"/>
          </w:divBdr>
        </w:div>
        <w:div w:id="763301140">
          <w:marLeft w:val="0"/>
          <w:marRight w:val="0"/>
          <w:marTop w:val="0"/>
          <w:marBottom w:val="0"/>
          <w:divBdr>
            <w:top w:val="none" w:sz="0" w:space="0" w:color="auto"/>
            <w:left w:val="none" w:sz="0" w:space="0" w:color="auto"/>
            <w:bottom w:val="none" w:sz="0" w:space="0" w:color="auto"/>
            <w:right w:val="none" w:sz="0" w:space="0" w:color="auto"/>
          </w:divBdr>
        </w:div>
        <w:div w:id="870454821">
          <w:marLeft w:val="0"/>
          <w:marRight w:val="0"/>
          <w:marTop w:val="0"/>
          <w:marBottom w:val="0"/>
          <w:divBdr>
            <w:top w:val="none" w:sz="0" w:space="0" w:color="auto"/>
            <w:left w:val="none" w:sz="0" w:space="0" w:color="auto"/>
            <w:bottom w:val="none" w:sz="0" w:space="0" w:color="auto"/>
            <w:right w:val="none" w:sz="0" w:space="0" w:color="auto"/>
          </w:divBdr>
        </w:div>
        <w:div w:id="1156073751">
          <w:marLeft w:val="0"/>
          <w:marRight w:val="0"/>
          <w:marTop w:val="0"/>
          <w:marBottom w:val="0"/>
          <w:divBdr>
            <w:top w:val="none" w:sz="0" w:space="0" w:color="auto"/>
            <w:left w:val="none" w:sz="0" w:space="0" w:color="auto"/>
            <w:bottom w:val="none" w:sz="0" w:space="0" w:color="auto"/>
            <w:right w:val="none" w:sz="0" w:space="0" w:color="auto"/>
          </w:divBdr>
        </w:div>
        <w:div w:id="1277298537">
          <w:marLeft w:val="0"/>
          <w:marRight w:val="0"/>
          <w:marTop w:val="0"/>
          <w:marBottom w:val="0"/>
          <w:divBdr>
            <w:top w:val="none" w:sz="0" w:space="0" w:color="auto"/>
            <w:left w:val="none" w:sz="0" w:space="0" w:color="auto"/>
            <w:bottom w:val="none" w:sz="0" w:space="0" w:color="auto"/>
            <w:right w:val="none" w:sz="0" w:space="0" w:color="auto"/>
          </w:divBdr>
        </w:div>
        <w:div w:id="1504007969">
          <w:marLeft w:val="0"/>
          <w:marRight w:val="0"/>
          <w:marTop w:val="0"/>
          <w:marBottom w:val="0"/>
          <w:divBdr>
            <w:top w:val="none" w:sz="0" w:space="0" w:color="auto"/>
            <w:left w:val="none" w:sz="0" w:space="0" w:color="auto"/>
            <w:bottom w:val="none" w:sz="0" w:space="0" w:color="auto"/>
            <w:right w:val="none" w:sz="0" w:space="0" w:color="auto"/>
          </w:divBdr>
        </w:div>
      </w:divsChild>
    </w:div>
    <w:div w:id="52239574">
      <w:bodyDiv w:val="1"/>
      <w:marLeft w:val="0"/>
      <w:marRight w:val="0"/>
      <w:marTop w:val="0"/>
      <w:marBottom w:val="0"/>
      <w:divBdr>
        <w:top w:val="none" w:sz="0" w:space="0" w:color="auto"/>
        <w:left w:val="none" w:sz="0" w:space="0" w:color="auto"/>
        <w:bottom w:val="none" w:sz="0" w:space="0" w:color="auto"/>
        <w:right w:val="none" w:sz="0" w:space="0" w:color="auto"/>
      </w:divBdr>
    </w:div>
    <w:div w:id="107437589">
      <w:bodyDiv w:val="1"/>
      <w:marLeft w:val="0"/>
      <w:marRight w:val="0"/>
      <w:marTop w:val="0"/>
      <w:marBottom w:val="0"/>
      <w:divBdr>
        <w:top w:val="none" w:sz="0" w:space="0" w:color="auto"/>
        <w:left w:val="none" w:sz="0" w:space="0" w:color="auto"/>
        <w:bottom w:val="none" w:sz="0" w:space="0" w:color="auto"/>
        <w:right w:val="none" w:sz="0" w:space="0" w:color="auto"/>
      </w:divBdr>
    </w:div>
    <w:div w:id="171648198">
      <w:bodyDiv w:val="1"/>
      <w:marLeft w:val="0"/>
      <w:marRight w:val="0"/>
      <w:marTop w:val="0"/>
      <w:marBottom w:val="0"/>
      <w:divBdr>
        <w:top w:val="none" w:sz="0" w:space="0" w:color="auto"/>
        <w:left w:val="none" w:sz="0" w:space="0" w:color="auto"/>
        <w:bottom w:val="none" w:sz="0" w:space="0" w:color="auto"/>
        <w:right w:val="none" w:sz="0" w:space="0" w:color="auto"/>
      </w:divBdr>
    </w:div>
    <w:div w:id="203561280">
      <w:bodyDiv w:val="1"/>
      <w:marLeft w:val="0"/>
      <w:marRight w:val="0"/>
      <w:marTop w:val="0"/>
      <w:marBottom w:val="0"/>
      <w:divBdr>
        <w:top w:val="none" w:sz="0" w:space="0" w:color="auto"/>
        <w:left w:val="none" w:sz="0" w:space="0" w:color="auto"/>
        <w:bottom w:val="none" w:sz="0" w:space="0" w:color="auto"/>
        <w:right w:val="none" w:sz="0" w:space="0" w:color="auto"/>
      </w:divBdr>
    </w:div>
    <w:div w:id="235747697">
      <w:bodyDiv w:val="1"/>
      <w:marLeft w:val="0"/>
      <w:marRight w:val="0"/>
      <w:marTop w:val="0"/>
      <w:marBottom w:val="0"/>
      <w:divBdr>
        <w:top w:val="none" w:sz="0" w:space="0" w:color="auto"/>
        <w:left w:val="none" w:sz="0" w:space="0" w:color="auto"/>
        <w:bottom w:val="none" w:sz="0" w:space="0" w:color="auto"/>
        <w:right w:val="none" w:sz="0" w:space="0" w:color="auto"/>
      </w:divBdr>
    </w:div>
    <w:div w:id="255527611">
      <w:bodyDiv w:val="1"/>
      <w:marLeft w:val="0"/>
      <w:marRight w:val="0"/>
      <w:marTop w:val="0"/>
      <w:marBottom w:val="0"/>
      <w:divBdr>
        <w:top w:val="none" w:sz="0" w:space="0" w:color="auto"/>
        <w:left w:val="none" w:sz="0" w:space="0" w:color="auto"/>
        <w:bottom w:val="none" w:sz="0" w:space="0" w:color="auto"/>
        <w:right w:val="none" w:sz="0" w:space="0" w:color="auto"/>
      </w:divBdr>
    </w:div>
    <w:div w:id="287322527">
      <w:bodyDiv w:val="1"/>
      <w:marLeft w:val="0"/>
      <w:marRight w:val="0"/>
      <w:marTop w:val="0"/>
      <w:marBottom w:val="0"/>
      <w:divBdr>
        <w:top w:val="none" w:sz="0" w:space="0" w:color="auto"/>
        <w:left w:val="none" w:sz="0" w:space="0" w:color="auto"/>
        <w:bottom w:val="none" w:sz="0" w:space="0" w:color="auto"/>
        <w:right w:val="none" w:sz="0" w:space="0" w:color="auto"/>
      </w:divBdr>
    </w:div>
    <w:div w:id="317618815">
      <w:bodyDiv w:val="1"/>
      <w:marLeft w:val="0"/>
      <w:marRight w:val="0"/>
      <w:marTop w:val="0"/>
      <w:marBottom w:val="0"/>
      <w:divBdr>
        <w:top w:val="none" w:sz="0" w:space="0" w:color="auto"/>
        <w:left w:val="none" w:sz="0" w:space="0" w:color="auto"/>
        <w:bottom w:val="none" w:sz="0" w:space="0" w:color="auto"/>
        <w:right w:val="none" w:sz="0" w:space="0" w:color="auto"/>
      </w:divBdr>
    </w:div>
    <w:div w:id="346517820">
      <w:bodyDiv w:val="1"/>
      <w:marLeft w:val="0"/>
      <w:marRight w:val="0"/>
      <w:marTop w:val="0"/>
      <w:marBottom w:val="0"/>
      <w:divBdr>
        <w:top w:val="none" w:sz="0" w:space="0" w:color="auto"/>
        <w:left w:val="none" w:sz="0" w:space="0" w:color="auto"/>
        <w:bottom w:val="none" w:sz="0" w:space="0" w:color="auto"/>
        <w:right w:val="none" w:sz="0" w:space="0" w:color="auto"/>
      </w:divBdr>
    </w:div>
    <w:div w:id="349334777">
      <w:bodyDiv w:val="1"/>
      <w:marLeft w:val="0"/>
      <w:marRight w:val="0"/>
      <w:marTop w:val="0"/>
      <w:marBottom w:val="0"/>
      <w:divBdr>
        <w:top w:val="none" w:sz="0" w:space="0" w:color="auto"/>
        <w:left w:val="none" w:sz="0" w:space="0" w:color="auto"/>
        <w:bottom w:val="none" w:sz="0" w:space="0" w:color="auto"/>
        <w:right w:val="none" w:sz="0" w:space="0" w:color="auto"/>
      </w:divBdr>
    </w:div>
    <w:div w:id="354498819">
      <w:bodyDiv w:val="1"/>
      <w:marLeft w:val="0"/>
      <w:marRight w:val="0"/>
      <w:marTop w:val="0"/>
      <w:marBottom w:val="0"/>
      <w:divBdr>
        <w:top w:val="none" w:sz="0" w:space="0" w:color="auto"/>
        <w:left w:val="none" w:sz="0" w:space="0" w:color="auto"/>
        <w:bottom w:val="none" w:sz="0" w:space="0" w:color="auto"/>
        <w:right w:val="none" w:sz="0" w:space="0" w:color="auto"/>
      </w:divBdr>
    </w:div>
    <w:div w:id="420830959">
      <w:bodyDiv w:val="1"/>
      <w:marLeft w:val="0"/>
      <w:marRight w:val="0"/>
      <w:marTop w:val="0"/>
      <w:marBottom w:val="0"/>
      <w:divBdr>
        <w:top w:val="none" w:sz="0" w:space="0" w:color="auto"/>
        <w:left w:val="none" w:sz="0" w:space="0" w:color="auto"/>
        <w:bottom w:val="none" w:sz="0" w:space="0" w:color="auto"/>
        <w:right w:val="none" w:sz="0" w:space="0" w:color="auto"/>
      </w:divBdr>
    </w:div>
    <w:div w:id="481045851">
      <w:bodyDiv w:val="1"/>
      <w:marLeft w:val="0"/>
      <w:marRight w:val="0"/>
      <w:marTop w:val="0"/>
      <w:marBottom w:val="0"/>
      <w:divBdr>
        <w:top w:val="none" w:sz="0" w:space="0" w:color="auto"/>
        <w:left w:val="none" w:sz="0" w:space="0" w:color="auto"/>
        <w:bottom w:val="none" w:sz="0" w:space="0" w:color="auto"/>
        <w:right w:val="none" w:sz="0" w:space="0" w:color="auto"/>
      </w:divBdr>
    </w:div>
    <w:div w:id="483860024">
      <w:bodyDiv w:val="1"/>
      <w:marLeft w:val="0"/>
      <w:marRight w:val="0"/>
      <w:marTop w:val="0"/>
      <w:marBottom w:val="0"/>
      <w:divBdr>
        <w:top w:val="none" w:sz="0" w:space="0" w:color="auto"/>
        <w:left w:val="none" w:sz="0" w:space="0" w:color="auto"/>
        <w:bottom w:val="none" w:sz="0" w:space="0" w:color="auto"/>
        <w:right w:val="none" w:sz="0" w:space="0" w:color="auto"/>
      </w:divBdr>
    </w:div>
    <w:div w:id="506865170">
      <w:bodyDiv w:val="1"/>
      <w:marLeft w:val="0"/>
      <w:marRight w:val="0"/>
      <w:marTop w:val="0"/>
      <w:marBottom w:val="0"/>
      <w:divBdr>
        <w:top w:val="none" w:sz="0" w:space="0" w:color="auto"/>
        <w:left w:val="none" w:sz="0" w:space="0" w:color="auto"/>
        <w:bottom w:val="none" w:sz="0" w:space="0" w:color="auto"/>
        <w:right w:val="none" w:sz="0" w:space="0" w:color="auto"/>
      </w:divBdr>
    </w:div>
    <w:div w:id="521404850">
      <w:bodyDiv w:val="1"/>
      <w:marLeft w:val="0"/>
      <w:marRight w:val="0"/>
      <w:marTop w:val="0"/>
      <w:marBottom w:val="0"/>
      <w:divBdr>
        <w:top w:val="none" w:sz="0" w:space="0" w:color="auto"/>
        <w:left w:val="none" w:sz="0" w:space="0" w:color="auto"/>
        <w:bottom w:val="none" w:sz="0" w:space="0" w:color="auto"/>
        <w:right w:val="none" w:sz="0" w:space="0" w:color="auto"/>
      </w:divBdr>
    </w:div>
    <w:div w:id="579869274">
      <w:bodyDiv w:val="1"/>
      <w:marLeft w:val="0"/>
      <w:marRight w:val="0"/>
      <w:marTop w:val="0"/>
      <w:marBottom w:val="0"/>
      <w:divBdr>
        <w:top w:val="none" w:sz="0" w:space="0" w:color="auto"/>
        <w:left w:val="none" w:sz="0" w:space="0" w:color="auto"/>
        <w:bottom w:val="none" w:sz="0" w:space="0" w:color="auto"/>
        <w:right w:val="none" w:sz="0" w:space="0" w:color="auto"/>
      </w:divBdr>
    </w:div>
    <w:div w:id="594899542">
      <w:bodyDiv w:val="1"/>
      <w:marLeft w:val="0"/>
      <w:marRight w:val="0"/>
      <w:marTop w:val="0"/>
      <w:marBottom w:val="0"/>
      <w:divBdr>
        <w:top w:val="none" w:sz="0" w:space="0" w:color="auto"/>
        <w:left w:val="none" w:sz="0" w:space="0" w:color="auto"/>
        <w:bottom w:val="none" w:sz="0" w:space="0" w:color="auto"/>
        <w:right w:val="none" w:sz="0" w:space="0" w:color="auto"/>
      </w:divBdr>
    </w:div>
    <w:div w:id="611278725">
      <w:bodyDiv w:val="1"/>
      <w:marLeft w:val="0"/>
      <w:marRight w:val="0"/>
      <w:marTop w:val="0"/>
      <w:marBottom w:val="0"/>
      <w:divBdr>
        <w:top w:val="none" w:sz="0" w:space="0" w:color="auto"/>
        <w:left w:val="none" w:sz="0" w:space="0" w:color="auto"/>
        <w:bottom w:val="none" w:sz="0" w:space="0" w:color="auto"/>
        <w:right w:val="none" w:sz="0" w:space="0" w:color="auto"/>
      </w:divBdr>
    </w:div>
    <w:div w:id="611594501">
      <w:bodyDiv w:val="1"/>
      <w:marLeft w:val="0"/>
      <w:marRight w:val="0"/>
      <w:marTop w:val="0"/>
      <w:marBottom w:val="0"/>
      <w:divBdr>
        <w:top w:val="none" w:sz="0" w:space="0" w:color="auto"/>
        <w:left w:val="none" w:sz="0" w:space="0" w:color="auto"/>
        <w:bottom w:val="none" w:sz="0" w:space="0" w:color="auto"/>
        <w:right w:val="none" w:sz="0" w:space="0" w:color="auto"/>
      </w:divBdr>
    </w:div>
    <w:div w:id="637879550">
      <w:bodyDiv w:val="1"/>
      <w:marLeft w:val="0"/>
      <w:marRight w:val="0"/>
      <w:marTop w:val="0"/>
      <w:marBottom w:val="0"/>
      <w:divBdr>
        <w:top w:val="none" w:sz="0" w:space="0" w:color="auto"/>
        <w:left w:val="none" w:sz="0" w:space="0" w:color="auto"/>
        <w:bottom w:val="none" w:sz="0" w:space="0" w:color="auto"/>
        <w:right w:val="none" w:sz="0" w:space="0" w:color="auto"/>
      </w:divBdr>
    </w:div>
    <w:div w:id="669024077">
      <w:bodyDiv w:val="1"/>
      <w:marLeft w:val="0"/>
      <w:marRight w:val="0"/>
      <w:marTop w:val="0"/>
      <w:marBottom w:val="0"/>
      <w:divBdr>
        <w:top w:val="none" w:sz="0" w:space="0" w:color="auto"/>
        <w:left w:val="none" w:sz="0" w:space="0" w:color="auto"/>
        <w:bottom w:val="none" w:sz="0" w:space="0" w:color="auto"/>
        <w:right w:val="none" w:sz="0" w:space="0" w:color="auto"/>
      </w:divBdr>
    </w:div>
    <w:div w:id="687414117">
      <w:bodyDiv w:val="1"/>
      <w:marLeft w:val="0"/>
      <w:marRight w:val="0"/>
      <w:marTop w:val="0"/>
      <w:marBottom w:val="0"/>
      <w:divBdr>
        <w:top w:val="none" w:sz="0" w:space="0" w:color="auto"/>
        <w:left w:val="none" w:sz="0" w:space="0" w:color="auto"/>
        <w:bottom w:val="none" w:sz="0" w:space="0" w:color="auto"/>
        <w:right w:val="none" w:sz="0" w:space="0" w:color="auto"/>
      </w:divBdr>
    </w:div>
    <w:div w:id="690374350">
      <w:bodyDiv w:val="1"/>
      <w:marLeft w:val="0"/>
      <w:marRight w:val="0"/>
      <w:marTop w:val="0"/>
      <w:marBottom w:val="0"/>
      <w:divBdr>
        <w:top w:val="none" w:sz="0" w:space="0" w:color="auto"/>
        <w:left w:val="none" w:sz="0" w:space="0" w:color="auto"/>
        <w:bottom w:val="none" w:sz="0" w:space="0" w:color="auto"/>
        <w:right w:val="none" w:sz="0" w:space="0" w:color="auto"/>
      </w:divBdr>
      <w:divsChild>
        <w:div w:id="8335778">
          <w:marLeft w:val="0"/>
          <w:marRight w:val="0"/>
          <w:marTop w:val="0"/>
          <w:marBottom w:val="0"/>
          <w:divBdr>
            <w:top w:val="none" w:sz="0" w:space="0" w:color="auto"/>
            <w:left w:val="none" w:sz="0" w:space="0" w:color="auto"/>
            <w:bottom w:val="none" w:sz="0" w:space="0" w:color="auto"/>
            <w:right w:val="none" w:sz="0" w:space="0" w:color="auto"/>
          </w:divBdr>
        </w:div>
        <w:div w:id="625157966">
          <w:marLeft w:val="0"/>
          <w:marRight w:val="0"/>
          <w:marTop w:val="0"/>
          <w:marBottom w:val="0"/>
          <w:divBdr>
            <w:top w:val="none" w:sz="0" w:space="0" w:color="auto"/>
            <w:left w:val="none" w:sz="0" w:space="0" w:color="auto"/>
            <w:bottom w:val="none" w:sz="0" w:space="0" w:color="auto"/>
            <w:right w:val="none" w:sz="0" w:space="0" w:color="auto"/>
          </w:divBdr>
        </w:div>
        <w:div w:id="765006555">
          <w:marLeft w:val="0"/>
          <w:marRight w:val="0"/>
          <w:marTop w:val="0"/>
          <w:marBottom w:val="0"/>
          <w:divBdr>
            <w:top w:val="none" w:sz="0" w:space="0" w:color="auto"/>
            <w:left w:val="none" w:sz="0" w:space="0" w:color="auto"/>
            <w:bottom w:val="none" w:sz="0" w:space="0" w:color="auto"/>
            <w:right w:val="none" w:sz="0" w:space="0" w:color="auto"/>
          </w:divBdr>
        </w:div>
        <w:div w:id="835461148">
          <w:marLeft w:val="0"/>
          <w:marRight w:val="0"/>
          <w:marTop w:val="0"/>
          <w:marBottom w:val="0"/>
          <w:divBdr>
            <w:top w:val="none" w:sz="0" w:space="0" w:color="auto"/>
            <w:left w:val="none" w:sz="0" w:space="0" w:color="auto"/>
            <w:bottom w:val="none" w:sz="0" w:space="0" w:color="auto"/>
            <w:right w:val="none" w:sz="0" w:space="0" w:color="auto"/>
          </w:divBdr>
        </w:div>
        <w:div w:id="1923875209">
          <w:marLeft w:val="0"/>
          <w:marRight w:val="0"/>
          <w:marTop w:val="0"/>
          <w:marBottom w:val="0"/>
          <w:divBdr>
            <w:top w:val="none" w:sz="0" w:space="0" w:color="auto"/>
            <w:left w:val="none" w:sz="0" w:space="0" w:color="auto"/>
            <w:bottom w:val="none" w:sz="0" w:space="0" w:color="auto"/>
            <w:right w:val="none" w:sz="0" w:space="0" w:color="auto"/>
          </w:divBdr>
        </w:div>
        <w:div w:id="1928883379">
          <w:marLeft w:val="0"/>
          <w:marRight w:val="0"/>
          <w:marTop w:val="0"/>
          <w:marBottom w:val="0"/>
          <w:divBdr>
            <w:top w:val="none" w:sz="0" w:space="0" w:color="auto"/>
            <w:left w:val="none" w:sz="0" w:space="0" w:color="auto"/>
            <w:bottom w:val="none" w:sz="0" w:space="0" w:color="auto"/>
            <w:right w:val="none" w:sz="0" w:space="0" w:color="auto"/>
          </w:divBdr>
        </w:div>
        <w:div w:id="1930385845">
          <w:marLeft w:val="0"/>
          <w:marRight w:val="0"/>
          <w:marTop w:val="0"/>
          <w:marBottom w:val="0"/>
          <w:divBdr>
            <w:top w:val="none" w:sz="0" w:space="0" w:color="auto"/>
            <w:left w:val="none" w:sz="0" w:space="0" w:color="auto"/>
            <w:bottom w:val="none" w:sz="0" w:space="0" w:color="auto"/>
            <w:right w:val="none" w:sz="0" w:space="0" w:color="auto"/>
          </w:divBdr>
        </w:div>
        <w:div w:id="2007128153">
          <w:marLeft w:val="0"/>
          <w:marRight w:val="0"/>
          <w:marTop w:val="0"/>
          <w:marBottom w:val="0"/>
          <w:divBdr>
            <w:top w:val="none" w:sz="0" w:space="0" w:color="auto"/>
            <w:left w:val="none" w:sz="0" w:space="0" w:color="auto"/>
            <w:bottom w:val="none" w:sz="0" w:space="0" w:color="auto"/>
            <w:right w:val="none" w:sz="0" w:space="0" w:color="auto"/>
          </w:divBdr>
        </w:div>
      </w:divsChild>
    </w:div>
    <w:div w:id="695423700">
      <w:bodyDiv w:val="1"/>
      <w:marLeft w:val="0"/>
      <w:marRight w:val="0"/>
      <w:marTop w:val="0"/>
      <w:marBottom w:val="0"/>
      <w:divBdr>
        <w:top w:val="none" w:sz="0" w:space="0" w:color="auto"/>
        <w:left w:val="none" w:sz="0" w:space="0" w:color="auto"/>
        <w:bottom w:val="none" w:sz="0" w:space="0" w:color="auto"/>
        <w:right w:val="none" w:sz="0" w:space="0" w:color="auto"/>
      </w:divBdr>
    </w:div>
    <w:div w:id="703480626">
      <w:bodyDiv w:val="1"/>
      <w:marLeft w:val="0"/>
      <w:marRight w:val="0"/>
      <w:marTop w:val="0"/>
      <w:marBottom w:val="0"/>
      <w:divBdr>
        <w:top w:val="none" w:sz="0" w:space="0" w:color="auto"/>
        <w:left w:val="none" w:sz="0" w:space="0" w:color="auto"/>
        <w:bottom w:val="none" w:sz="0" w:space="0" w:color="auto"/>
        <w:right w:val="none" w:sz="0" w:space="0" w:color="auto"/>
      </w:divBdr>
    </w:div>
    <w:div w:id="716901823">
      <w:bodyDiv w:val="1"/>
      <w:marLeft w:val="0"/>
      <w:marRight w:val="0"/>
      <w:marTop w:val="0"/>
      <w:marBottom w:val="0"/>
      <w:divBdr>
        <w:top w:val="none" w:sz="0" w:space="0" w:color="auto"/>
        <w:left w:val="none" w:sz="0" w:space="0" w:color="auto"/>
        <w:bottom w:val="none" w:sz="0" w:space="0" w:color="auto"/>
        <w:right w:val="none" w:sz="0" w:space="0" w:color="auto"/>
      </w:divBdr>
    </w:div>
    <w:div w:id="749739148">
      <w:bodyDiv w:val="1"/>
      <w:marLeft w:val="0"/>
      <w:marRight w:val="0"/>
      <w:marTop w:val="0"/>
      <w:marBottom w:val="0"/>
      <w:divBdr>
        <w:top w:val="none" w:sz="0" w:space="0" w:color="auto"/>
        <w:left w:val="none" w:sz="0" w:space="0" w:color="auto"/>
        <w:bottom w:val="none" w:sz="0" w:space="0" w:color="auto"/>
        <w:right w:val="none" w:sz="0" w:space="0" w:color="auto"/>
      </w:divBdr>
    </w:div>
    <w:div w:id="752899532">
      <w:bodyDiv w:val="1"/>
      <w:marLeft w:val="0"/>
      <w:marRight w:val="0"/>
      <w:marTop w:val="0"/>
      <w:marBottom w:val="0"/>
      <w:divBdr>
        <w:top w:val="none" w:sz="0" w:space="0" w:color="auto"/>
        <w:left w:val="none" w:sz="0" w:space="0" w:color="auto"/>
        <w:bottom w:val="none" w:sz="0" w:space="0" w:color="auto"/>
        <w:right w:val="none" w:sz="0" w:space="0" w:color="auto"/>
      </w:divBdr>
    </w:div>
    <w:div w:id="756288277">
      <w:bodyDiv w:val="1"/>
      <w:marLeft w:val="0"/>
      <w:marRight w:val="0"/>
      <w:marTop w:val="0"/>
      <w:marBottom w:val="0"/>
      <w:divBdr>
        <w:top w:val="none" w:sz="0" w:space="0" w:color="auto"/>
        <w:left w:val="none" w:sz="0" w:space="0" w:color="auto"/>
        <w:bottom w:val="none" w:sz="0" w:space="0" w:color="auto"/>
        <w:right w:val="none" w:sz="0" w:space="0" w:color="auto"/>
      </w:divBdr>
    </w:div>
    <w:div w:id="778182337">
      <w:bodyDiv w:val="1"/>
      <w:marLeft w:val="0"/>
      <w:marRight w:val="0"/>
      <w:marTop w:val="0"/>
      <w:marBottom w:val="0"/>
      <w:divBdr>
        <w:top w:val="none" w:sz="0" w:space="0" w:color="auto"/>
        <w:left w:val="none" w:sz="0" w:space="0" w:color="auto"/>
        <w:bottom w:val="none" w:sz="0" w:space="0" w:color="auto"/>
        <w:right w:val="none" w:sz="0" w:space="0" w:color="auto"/>
      </w:divBdr>
    </w:div>
    <w:div w:id="810757571">
      <w:bodyDiv w:val="1"/>
      <w:marLeft w:val="0"/>
      <w:marRight w:val="0"/>
      <w:marTop w:val="0"/>
      <w:marBottom w:val="0"/>
      <w:divBdr>
        <w:top w:val="none" w:sz="0" w:space="0" w:color="auto"/>
        <w:left w:val="none" w:sz="0" w:space="0" w:color="auto"/>
        <w:bottom w:val="none" w:sz="0" w:space="0" w:color="auto"/>
        <w:right w:val="none" w:sz="0" w:space="0" w:color="auto"/>
      </w:divBdr>
    </w:div>
    <w:div w:id="861166136">
      <w:bodyDiv w:val="1"/>
      <w:marLeft w:val="0"/>
      <w:marRight w:val="0"/>
      <w:marTop w:val="0"/>
      <w:marBottom w:val="0"/>
      <w:divBdr>
        <w:top w:val="none" w:sz="0" w:space="0" w:color="auto"/>
        <w:left w:val="none" w:sz="0" w:space="0" w:color="auto"/>
        <w:bottom w:val="none" w:sz="0" w:space="0" w:color="auto"/>
        <w:right w:val="none" w:sz="0" w:space="0" w:color="auto"/>
      </w:divBdr>
    </w:div>
    <w:div w:id="883760888">
      <w:bodyDiv w:val="1"/>
      <w:marLeft w:val="0"/>
      <w:marRight w:val="0"/>
      <w:marTop w:val="0"/>
      <w:marBottom w:val="0"/>
      <w:divBdr>
        <w:top w:val="none" w:sz="0" w:space="0" w:color="auto"/>
        <w:left w:val="none" w:sz="0" w:space="0" w:color="auto"/>
        <w:bottom w:val="none" w:sz="0" w:space="0" w:color="auto"/>
        <w:right w:val="none" w:sz="0" w:space="0" w:color="auto"/>
      </w:divBdr>
    </w:div>
    <w:div w:id="887181156">
      <w:bodyDiv w:val="1"/>
      <w:marLeft w:val="0"/>
      <w:marRight w:val="0"/>
      <w:marTop w:val="0"/>
      <w:marBottom w:val="0"/>
      <w:divBdr>
        <w:top w:val="none" w:sz="0" w:space="0" w:color="auto"/>
        <w:left w:val="none" w:sz="0" w:space="0" w:color="auto"/>
        <w:bottom w:val="none" w:sz="0" w:space="0" w:color="auto"/>
        <w:right w:val="none" w:sz="0" w:space="0" w:color="auto"/>
      </w:divBdr>
    </w:div>
    <w:div w:id="940573031">
      <w:bodyDiv w:val="1"/>
      <w:marLeft w:val="0"/>
      <w:marRight w:val="0"/>
      <w:marTop w:val="0"/>
      <w:marBottom w:val="0"/>
      <w:divBdr>
        <w:top w:val="none" w:sz="0" w:space="0" w:color="auto"/>
        <w:left w:val="none" w:sz="0" w:space="0" w:color="auto"/>
        <w:bottom w:val="none" w:sz="0" w:space="0" w:color="auto"/>
        <w:right w:val="none" w:sz="0" w:space="0" w:color="auto"/>
      </w:divBdr>
    </w:div>
    <w:div w:id="943655671">
      <w:bodyDiv w:val="1"/>
      <w:marLeft w:val="0"/>
      <w:marRight w:val="0"/>
      <w:marTop w:val="0"/>
      <w:marBottom w:val="0"/>
      <w:divBdr>
        <w:top w:val="none" w:sz="0" w:space="0" w:color="auto"/>
        <w:left w:val="none" w:sz="0" w:space="0" w:color="auto"/>
        <w:bottom w:val="none" w:sz="0" w:space="0" w:color="auto"/>
        <w:right w:val="none" w:sz="0" w:space="0" w:color="auto"/>
      </w:divBdr>
    </w:div>
    <w:div w:id="949163494">
      <w:bodyDiv w:val="1"/>
      <w:marLeft w:val="0"/>
      <w:marRight w:val="0"/>
      <w:marTop w:val="0"/>
      <w:marBottom w:val="0"/>
      <w:divBdr>
        <w:top w:val="none" w:sz="0" w:space="0" w:color="auto"/>
        <w:left w:val="none" w:sz="0" w:space="0" w:color="auto"/>
        <w:bottom w:val="none" w:sz="0" w:space="0" w:color="auto"/>
        <w:right w:val="none" w:sz="0" w:space="0" w:color="auto"/>
      </w:divBdr>
    </w:div>
    <w:div w:id="949894191">
      <w:bodyDiv w:val="1"/>
      <w:marLeft w:val="0"/>
      <w:marRight w:val="0"/>
      <w:marTop w:val="0"/>
      <w:marBottom w:val="0"/>
      <w:divBdr>
        <w:top w:val="none" w:sz="0" w:space="0" w:color="auto"/>
        <w:left w:val="none" w:sz="0" w:space="0" w:color="auto"/>
        <w:bottom w:val="none" w:sz="0" w:space="0" w:color="auto"/>
        <w:right w:val="none" w:sz="0" w:space="0" w:color="auto"/>
      </w:divBdr>
    </w:div>
    <w:div w:id="1021278559">
      <w:bodyDiv w:val="1"/>
      <w:marLeft w:val="0"/>
      <w:marRight w:val="0"/>
      <w:marTop w:val="0"/>
      <w:marBottom w:val="0"/>
      <w:divBdr>
        <w:top w:val="none" w:sz="0" w:space="0" w:color="auto"/>
        <w:left w:val="none" w:sz="0" w:space="0" w:color="auto"/>
        <w:bottom w:val="none" w:sz="0" w:space="0" w:color="auto"/>
        <w:right w:val="none" w:sz="0" w:space="0" w:color="auto"/>
      </w:divBdr>
    </w:div>
    <w:div w:id="1048408805">
      <w:bodyDiv w:val="1"/>
      <w:marLeft w:val="0"/>
      <w:marRight w:val="0"/>
      <w:marTop w:val="0"/>
      <w:marBottom w:val="0"/>
      <w:divBdr>
        <w:top w:val="none" w:sz="0" w:space="0" w:color="auto"/>
        <w:left w:val="none" w:sz="0" w:space="0" w:color="auto"/>
        <w:bottom w:val="none" w:sz="0" w:space="0" w:color="auto"/>
        <w:right w:val="none" w:sz="0" w:space="0" w:color="auto"/>
      </w:divBdr>
    </w:div>
    <w:div w:id="1069307331">
      <w:bodyDiv w:val="1"/>
      <w:marLeft w:val="0"/>
      <w:marRight w:val="0"/>
      <w:marTop w:val="0"/>
      <w:marBottom w:val="0"/>
      <w:divBdr>
        <w:top w:val="none" w:sz="0" w:space="0" w:color="auto"/>
        <w:left w:val="none" w:sz="0" w:space="0" w:color="auto"/>
        <w:bottom w:val="none" w:sz="0" w:space="0" w:color="auto"/>
        <w:right w:val="none" w:sz="0" w:space="0" w:color="auto"/>
      </w:divBdr>
    </w:div>
    <w:div w:id="1074469803">
      <w:bodyDiv w:val="1"/>
      <w:marLeft w:val="0"/>
      <w:marRight w:val="0"/>
      <w:marTop w:val="0"/>
      <w:marBottom w:val="0"/>
      <w:divBdr>
        <w:top w:val="none" w:sz="0" w:space="0" w:color="auto"/>
        <w:left w:val="none" w:sz="0" w:space="0" w:color="auto"/>
        <w:bottom w:val="none" w:sz="0" w:space="0" w:color="auto"/>
        <w:right w:val="none" w:sz="0" w:space="0" w:color="auto"/>
      </w:divBdr>
      <w:divsChild>
        <w:div w:id="46029809">
          <w:marLeft w:val="0"/>
          <w:marRight w:val="0"/>
          <w:marTop w:val="0"/>
          <w:marBottom w:val="0"/>
          <w:divBdr>
            <w:top w:val="none" w:sz="0" w:space="0" w:color="auto"/>
            <w:left w:val="none" w:sz="0" w:space="0" w:color="auto"/>
            <w:bottom w:val="none" w:sz="0" w:space="0" w:color="auto"/>
            <w:right w:val="none" w:sz="0" w:space="0" w:color="auto"/>
          </w:divBdr>
        </w:div>
        <w:div w:id="473763687">
          <w:marLeft w:val="0"/>
          <w:marRight w:val="0"/>
          <w:marTop w:val="0"/>
          <w:marBottom w:val="0"/>
          <w:divBdr>
            <w:top w:val="none" w:sz="0" w:space="0" w:color="auto"/>
            <w:left w:val="none" w:sz="0" w:space="0" w:color="auto"/>
            <w:bottom w:val="none" w:sz="0" w:space="0" w:color="auto"/>
            <w:right w:val="none" w:sz="0" w:space="0" w:color="auto"/>
          </w:divBdr>
        </w:div>
        <w:div w:id="532769126">
          <w:marLeft w:val="0"/>
          <w:marRight w:val="0"/>
          <w:marTop w:val="0"/>
          <w:marBottom w:val="0"/>
          <w:divBdr>
            <w:top w:val="none" w:sz="0" w:space="0" w:color="auto"/>
            <w:left w:val="none" w:sz="0" w:space="0" w:color="auto"/>
            <w:bottom w:val="none" w:sz="0" w:space="0" w:color="auto"/>
            <w:right w:val="none" w:sz="0" w:space="0" w:color="auto"/>
          </w:divBdr>
        </w:div>
        <w:div w:id="1522623730">
          <w:marLeft w:val="0"/>
          <w:marRight w:val="0"/>
          <w:marTop w:val="0"/>
          <w:marBottom w:val="0"/>
          <w:divBdr>
            <w:top w:val="none" w:sz="0" w:space="0" w:color="auto"/>
            <w:left w:val="none" w:sz="0" w:space="0" w:color="auto"/>
            <w:bottom w:val="none" w:sz="0" w:space="0" w:color="auto"/>
            <w:right w:val="none" w:sz="0" w:space="0" w:color="auto"/>
          </w:divBdr>
        </w:div>
        <w:div w:id="1558054183">
          <w:marLeft w:val="0"/>
          <w:marRight w:val="0"/>
          <w:marTop w:val="0"/>
          <w:marBottom w:val="0"/>
          <w:divBdr>
            <w:top w:val="none" w:sz="0" w:space="0" w:color="auto"/>
            <w:left w:val="none" w:sz="0" w:space="0" w:color="auto"/>
            <w:bottom w:val="none" w:sz="0" w:space="0" w:color="auto"/>
            <w:right w:val="none" w:sz="0" w:space="0" w:color="auto"/>
          </w:divBdr>
        </w:div>
        <w:div w:id="1749420415">
          <w:marLeft w:val="0"/>
          <w:marRight w:val="0"/>
          <w:marTop w:val="0"/>
          <w:marBottom w:val="0"/>
          <w:divBdr>
            <w:top w:val="none" w:sz="0" w:space="0" w:color="auto"/>
            <w:left w:val="none" w:sz="0" w:space="0" w:color="auto"/>
            <w:bottom w:val="none" w:sz="0" w:space="0" w:color="auto"/>
            <w:right w:val="none" w:sz="0" w:space="0" w:color="auto"/>
          </w:divBdr>
        </w:div>
        <w:div w:id="1803035026">
          <w:marLeft w:val="0"/>
          <w:marRight w:val="0"/>
          <w:marTop w:val="0"/>
          <w:marBottom w:val="0"/>
          <w:divBdr>
            <w:top w:val="none" w:sz="0" w:space="0" w:color="auto"/>
            <w:left w:val="none" w:sz="0" w:space="0" w:color="auto"/>
            <w:bottom w:val="none" w:sz="0" w:space="0" w:color="auto"/>
            <w:right w:val="none" w:sz="0" w:space="0" w:color="auto"/>
          </w:divBdr>
        </w:div>
        <w:div w:id="2062824091">
          <w:marLeft w:val="0"/>
          <w:marRight w:val="0"/>
          <w:marTop w:val="0"/>
          <w:marBottom w:val="0"/>
          <w:divBdr>
            <w:top w:val="none" w:sz="0" w:space="0" w:color="auto"/>
            <w:left w:val="none" w:sz="0" w:space="0" w:color="auto"/>
            <w:bottom w:val="none" w:sz="0" w:space="0" w:color="auto"/>
            <w:right w:val="none" w:sz="0" w:space="0" w:color="auto"/>
          </w:divBdr>
        </w:div>
      </w:divsChild>
    </w:div>
    <w:div w:id="1106192187">
      <w:bodyDiv w:val="1"/>
      <w:marLeft w:val="0"/>
      <w:marRight w:val="0"/>
      <w:marTop w:val="0"/>
      <w:marBottom w:val="0"/>
      <w:divBdr>
        <w:top w:val="none" w:sz="0" w:space="0" w:color="auto"/>
        <w:left w:val="none" w:sz="0" w:space="0" w:color="auto"/>
        <w:bottom w:val="none" w:sz="0" w:space="0" w:color="auto"/>
        <w:right w:val="none" w:sz="0" w:space="0" w:color="auto"/>
      </w:divBdr>
    </w:div>
    <w:div w:id="1112242906">
      <w:bodyDiv w:val="1"/>
      <w:marLeft w:val="0"/>
      <w:marRight w:val="0"/>
      <w:marTop w:val="0"/>
      <w:marBottom w:val="0"/>
      <w:divBdr>
        <w:top w:val="none" w:sz="0" w:space="0" w:color="auto"/>
        <w:left w:val="none" w:sz="0" w:space="0" w:color="auto"/>
        <w:bottom w:val="none" w:sz="0" w:space="0" w:color="auto"/>
        <w:right w:val="none" w:sz="0" w:space="0" w:color="auto"/>
      </w:divBdr>
    </w:div>
    <w:div w:id="1130637107">
      <w:bodyDiv w:val="1"/>
      <w:marLeft w:val="0"/>
      <w:marRight w:val="0"/>
      <w:marTop w:val="0"/>
      <w:marBottom w:val="0"/>
      <w:divBdr>
        <w:top w:val="none" w:sz="0" w:space="0" w:color="auto"/>
        <w:left w:val="none" w:sz="0" w:space="0" w:color="auto"/>
        <w:bottom w:val="none" w:sz="0" w:space="0" w:color="auto"/>
        <w:right w:val="none" w:sz="0" w:space="0" w:color="auto"/>
      </w:divBdr>
    </w:div>
    <w:div w:id="1212695626">
      <w:bodyDiv w:val="1"/>
      <w:marLeft w:val="0"/>
      <w:marRight w:val="0"/>
      <w:marTop w:val="0"/>
      <w:marBottom w:val="0"/>
      <w:divBdr>
        <w:top w:val="none" w:sz="0" w:space="0" w:color="auto"/>
        <w:left w:val="none" w:sz="0" w:space="0" w:color="auto"/>
        <w:bottom w:val="none" w:sz="0" w:space="0" w:color="auto"/>
        <w:right w:val="none" w:sz="0" w:space="0" w:color="auto"/>
      </w:divBdr>
    </w:div>
    <w:div w:id="1242443518">
      <w:bodyDiv w:val="1"/>
      <w:marLeft w:val="0"/>
      <w:marRight w:val="0"/>
      <w:marTop w:val="0"/>
      <w:marBottom w:val="0"/>
      <w:divBdr>
        <w:top w:val="none" w:sz="0" w:space="0" w:color="auto"/>
        <w:left w:val="none" w:sz="0" w:space="0" w:color="auto"/>
        <w:bottom w:val="none" w:sz="0" w:space="0" w:color="auto"/>
        <w:right w:val="none" w:sz="0" w:space="0" w:color="auto"/>
      </w:divBdr>
      <w:divsChild>
        <w:div w:id="641693650">
          <w:marLeft w:val="0"/>
          <w:marRight w:val="0"/>
          <w:marTop w:val="0"/>
          <w:marBottom w:val="0"/>
          <w:divBdr>
            <w:top w:val="none" w:sz="0" w:space="0" w:color="auto"/>
            <w:left w:val="none" w:sz="0" w:space="0" w:color="auto"/>
            <w:bottom w:val="none" w:sz="0" w:space="0" w:color="auto"/>
            <w:right w:val="none" w:sz="0" w:space="0" w:color="auto"/>
          </w:divBdr>
        </w:div>
        <w:div w:id="642277778">
          <w:marLeft w:val="0"/>
          <w:marRight w:val="0"/>
          <w:marTop w:val="0"/>
          <w:marBottom w:val="0"/>
          <w:divBdr>
            <w:top w:val="none" w:sz="0" w:space="0" w:color="auto"/>
            <w:left w:val="none" w:sz="0" w:space="0" w:color="auto"/>
            <w:bottom w:val="none" w:sz="0" w:space="0" w:color="auto"/>
            <w:right w:val="none" w:sz="0" w:space="0" w:color="auto"/>
          </w:divBdr>
        </w:div>
        <w:div w:id="955789069">
          <w:marLeft w:val="0"/>
          <w:marRight w:val="0"/>
          <w:marTop w:val="0"/>
          <w:marBottom w:val="0"/>
          <w:divBdr>
            <w:top w:val="none" w:sz="0" w:space="0" w:color="auto"/>
            <w:left w:val="none" w:sz="0" w:space="0" w:color="auto"/>
            <w:bottom w:val="none" w:sz="0" w:space="0" w:color="auto"/>
            <w:right w:val="none" w:sz="0" w:space="0" w:color="auto"/>
          </w:divBdr>
        </w:div>
        <w:div w:id="1224174247">
          <w:marLeft w:val="0"/>
          <w:marRight w:val="0"/>
          <w:marTop w:val="0"/>
          <w:marBottom w:val="0"/>
          <w:divBdr>
            <w:top w:val="none" w:sz="0" w:space="0" w:color="auto"/>
            <w:left w:val="none" w:sz="0" w:space="0" w:color="auto"/>
            <w:bottom w:val="none" w:sz="0" w:space="0" w:color="auto"/>
            <w:right w:val="none" w:sz="0" w:space="0" w:color="auto"/>
          </w:divBdr>
        </w:div>
        <w:div w:id="1440762526">
          <w:marLeft w:val="0"/>
          <w:marRight w:val="0"/>
          <w:marTop w:val="0"/>
          <w:marBottom w:val="0"/>
          <w:divBdr>
            <w:top w:val="none" w:sz="0" w:space="0" w:color="auto"/>
            <w:left w:val="none" w:sz="0" w:space="0" w:color="auto"/>
            <w:bottom w:val="none" w:sz="0" w:space="0" w:color="auto"/>
            <w:right w:val="none" w:sz="0" w:space="0" w:color="auto"/>
          </w:divBdr>
        </w:div>
        <w:div w:id="1493373433">
          <w:marLeft w:val="0"/>
          <w:marRight w:val="0"/>
          <w:marTop w:val="0"/>
          <w:marBottom w:val="0"/>
          <w:divBdr>
            <w:top w:val="none" w:sz="0" w:space="0" w:color="auto"/>
            <w:left w:val="none" w:sz="0" w:space="0" w:color="auto"/>
            <w:bottom w:val="none" w:sz="0" w:space="0" w:color="auto"/>
            <w:right w:val="none" w:sz="0" w:space="0" w:color="auto"/>
          </w:divBdr>
        </w:div>
        <w:div w:id="1731885670">
          <w:marLeft w:val="0"/>
          <w:marRight w:val="0"/>
          <w:marTop w:val="0"/>
          <w:marBottom w:val="0"/>
          <w:divBdr>
            <w:top w:val="none" w:sz="0" w:space="0" w:color="auto"/>
            <w:left w:val="none" w:sz="0" w:space="0" w:color="auto"/>
            <w:bottom w:val="none" w:sz="0" w:space="0" w:color="auto"/>
            <w:right w:val="none" w:sz="0" w:space="0" w:color="auto"/>
          </w:divBdr>
        </w:div>
        <w:div w:id="2133402028">
          <w:marLeft w:val="0"/>
          <w:marRight w:val="0"/>
          <w:marTop w:val="0"/>
          <w:marBottom w:val="0"/>
          <w:divBdr>
            <w:top w:val="none" w:sz="0" w:space="0" w:color="auto"/>
            <w:left w:val="none" w:sz="0" w:space="0" w:color="auto"/>
            <w:bottom w:val="none" w:sz="0" w:space="0" w:color="auto"/>
            <w:right w:val="none" w:sz="0" w:space="0" w:color="auto"/>
          </w:divBdr>
        </w:div>
      </w:divsChild>
    </w:div>
    <w:div w:id="1275210355">
      <w:bodyDiv w:val="1"/>
      <w:marLeft w:val="0"/>
      <w:marRight w:val="0"/>
      <w:marTop w:val="0"/>
      <w:marBottom w:val="0"/>
      <w:divBdr>
        <w:top w:val="none" w:sz="0" w:space="0" w:color="auto"/>
        <w:left w:val="none" w:sz="0" w:space="0" w:color="auto"/>
        <w:bottom w:val="none" w:sz="0" w:space="0" w:color="auto"/>
        <w:right w:val="none" w:sz="0" w:space="0" w:color="auto"/>
      </w:divBdr>
    </w:div>
    <w:div w:id="1283074492">
      <w:bodyDiv w:val="1"/>
      <w:marLeft w:val="0"/>
      <w:marRight w:val="0"/>
      <w:marTop w:val="0"/>
      <w:marBottom w:val="0"/>
      <w:divBdr>
        <w:top w:val="none" w:sz="0" w:space="0" w:color="auto"/>
        <w:left w:val="none" w:sz="0" w:space="0" w:color="auto"/>
        <w:bottom w:val="none" w:sz="0" w:space="0" w:color="auto"/>
        <w:right w:val="none" w:sz="0" w:space="0" w:color="auto"/>
      </w:divBdr>
    </w:div>
    <w:div w:id="1314677604">
      <w:bodyDiv w:val="1"/>
      <w:marLeft w:val="0"/>
      <w:marRight w:val="0"/>
      <w:marTop w:val="0"/>
      <w:marBottom w:val="0"/>
      <w:divBdr>
        <w:top w:val="none" w:sz="0" w:space="0" w:color="auto"/>
        <w:left w:val="none" w:sz="0" w:space="0" w:color="auto"/>
        <w:bottom w:val="none" w:sz="0" w:space="0" w:color="auto"/>
        <w:right w:val="none" w:sz="0" w:space="0" w:color="auto"/>
      </w:divBdr>
      <w:divsChild>
        <w:div w:id="1531651683">
          <w:marLeft w:val="0"/>
          <w:marRight w:val="0"/>
          <w:marTop w:val="0"/>
          <w:marBottom w:val="0"/>
          <w:divBdr>
            <w:top w:val="none" w:sz="0" w:space="0" w:color="auto"/>
            <w:left w:val="none" w:sz="0" w:space="0" w:color="auto"/>
            <w:bottom w:val="none" w:sz="0" w:space="0" w:color="auto"/>
            <w:right w:val="none" w:sz="0" w:space="0" w:color="auto"/>
          </w:divBdr>
          <w:divsChild>
            <w:div w:id="21019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12825">
      <w:bodyDiv w:val="1"/>
      <w:marLeft w:val="0"/>
      <w:marRight w:val="0"/>
      <w:marTop w:val="0"/>
      <w:marBottom w:val="0"/>
      <w:divBdr>
        <w:top w:val="none" w:sz="0" w:space="0" w:color="auto"/>
        <w:left w:val="none" w:sz="0" w:space="0" w:color="auto"/>
        <w:bottom w:val="none" w:sz="0" w:space="0" w:color="auto"/>
        <w:right w:val="none" w:sz="0" w:space="0" w:color="auto"/>
      </w:divBdr>
    </w:div>
    <w:div w:id="1414160174">
      <w:bodyDiv w:val="1"/>
      <w:marLeft w:val="0"/>
      <w:marRight w:val="0"/>
      <w:marTop w:val="0"/>
      <w:marBottom w:val="0"/>
      <w:divBdr>
        <w:top w:val="none" w:sz="0" w:space="0" w:color="auto"/>
        <w:left w:val="none" w:sz="0" w:space="0" w:color="auto"/>
        <w:bottom w:val="none" w:sz="0" w:space="0" w:color="auto"/>
        <w:right w:val="none" w:sz="0" w:space="0" w:color="auto"/>
      </w:divBdr>
    </w:div>
    <w:div w:id="1472359241">
      <w:bodyDiv w:val="1"/>
      <w:marLeft w:val="0"/>
      <w:marRight w:val="0"/>
      <w:marTop w:val="0"/>
      <w:marBottom w:val="0"/>
      <w:divBdr>
        <w:top w:val="none" w:sz="0" w:space="0" w:color="auto"/>
        <w:left w:val="none" w:sz="0" w:space="0" w:color="auto"/>
        <w:bottom w:val="none" w:sz="0" w:space="0" w:color="auto"/>
        <w:right w:val="none" w:sz="0" w:space="0" w:color="auto"/>
      </w:divBdr>
    </w:div>
    <w:div w:id="1479496284">
      <w:bodyDiv w:val="1"/>
      <w:marLeft w:val="0"/>
      <w:marRight w:val="0"/>
      <w:marTop w:val="0"/>
      <w:marBottom w:val="0"/>
      <w:divBdr>
        <w:top w:val="none" w:sz="0" w:space="0" w:color="auto"/>
        <w:left w:val="none" w:sz="0" w:space="0" w:color="auto"/>
        <w:bottom w:val="none" w:sz="0" w:space="0" w:color="auto"/>
        <w:right w:val="none" w:sz="0" w:space="0" w:color="auto"/>
      </w:divBdr>
    </w:div>
    <w:div w:id="1519192637">
      <w:bodyDiv w:val="1"/>
      <w:marLeft w:val="0"/>
      <w:marRight w:val="0"/>
      <w:marTop w:val="0"/>
      <w:marBottom w:val="0"/>
      <w:divBdr>
        <w:top w:val="none" w:sz="0" w:space="0" w:color="auto"/>
        <w:left w:val="none" w:sz="0" w:space="0" w:color="auto"/>
        <w:bottom w:val="none" w:sz="0" w:space="0" w:color="auto"/>
        <w:right w:val="none" w:sz="0" w:space="0" w:color="auto"/>
      </w:divBdr>
    </w:div>
    <w:div w:id="1528987085">
      <w:bodyDiv w:val="1"/>
      <w:marLeft w:val="0"/>
      <w:marRight w:val="0"/>
      <w:marTop w:val="0"/>
      <w:marBottom w:val="0"/>
      <w:divBdr>
        <w:top w:val="none" w:sz="0" w:space="0" w:color="auto"/>
        <w:left w:val="none" w:sz="0" w:space="0" w:color="auto"/>
        <w:bottom w:val="none" w:sz="0" w:space="0" w:color="auto"/>
        <w:right w:val="none" w:sz="0" w:space="0" w:color="auto"/>
      </w:divBdr>
    </w:div>
    <w:div w:id="1544559350">
      <w:bodyDiv w:val="1"/>
      <w:marLeft w:val="0"/>
      <w:marRight w:val="0"/>
      <w:marTop w:val="0"/>
      <w:marBottom w:val="0"/>
      <w:divBdr>
        <w:top w:val="none" w:sz="0" w:space="0" w:color="auto"/>
        <w:left w:val="none" w:sz="0" w:space="0" w:color="auto"/>
        <w:bottom w:val="none" w:sz="0" w:space="0" w:color="auto"/>
        <w:right w:val="none" w:sz="0" w:space="0" w:color="auto"/>
      </w:divBdr>
    </w:div>
    <w:div w:id="1556814248">
      <w:bodyDiv w:val="1"/>
      <w:marLeft w:val="0"/>
      <w:marRight w:val="0"/>
      <w:marTop w:val="0"/>
      <w:marBottom w:val="0"/>
      <w:divBdr>
        <w:top w:val="none" w:sz="0" w:space="0" w:color="auto"/>
        <w:left w:val="none" w:sz="0" w:space="0" w:color="auto"/>
        <w:bottom w:val="none" w:sz="0" w:space="0" w:color="auto"/>
        <w:right w:val="none" w:sz="0" w:space="0" w:color="auto"/>
      </w:divBdr>
    </w:div>
    <w:div w:id="1589342961">
      <w:bodyDiv w:val="1"/>
      <w:marLeft w:val="0"/>
      <w:marRight w:val="0"/>
      <w:marTop w:val="0"/>
      <w:marBottom w:val="0"/>
      <w:divBdr>
        <w:top w:val="none" w:sz="0" w:space="0" w:color="auto"/>
        <w:left w:val="none" w:sz="0" w:space="0" w:color="auto"/>
        <w:bottom w:val="none" w:sz="0" w:space="0" w:color="auto"/>
        <w:right w:val="none" w:sz="0" w:space="0" w:color="auto"/>
      </w:divBdr>
    </w:div>
    <w:div w:id="1593003624">
      <w:bodyDiv w:val="1"/>
      <w:marLeft w:val="0"/>
      <w:marRight w:val="0"/>
      <w:marTop w:val="0"/>
      <w:marBottom w:val="0"/>
      <w:divBdr>
        <w:top w:val="none" w:sz="0" w:space="0" w:color="auto"/>
        <w:left w:val="none" w:sz="0" w:space="0" w:color="auto"/>
        <w:bottom w:val="none" w:sz="0" w:space="0" w:color="auto"/>
        <w:right w:val="none" w:sz="0" w:space="0" w:color="auto"/>
      </w:divBdr>
    </w:div>
    <w:div w:id="1603953227">
      <w:bodyDiv w:val="1"/>
      <w:marLeft w:val="0"/>
      <w:marRight w:val="0"/>
      <w:marTop w:val="0"/>
      <w:marBottom w:val="0"/>
      <w:divBdr>
        <w:top w:val="none" w:sz="0" w:space="0" w:color="auto"/>
        <w:left w:val="none" w:sz="0" w:space="0" w:color="auto"/>
        <w:bottom w:val="none" w:sz="0" w:space="0" w:color="auto"/>
        <w:right w:val="none" w:sz="0" w:space="0" w:color="auto"/>
      </w:divBdr>
    </w:div>
    <w:div w:id="1616138258">
      <w:bodyDiv w:val="1"/>
      <w:marLeft w:val="0"/>
      <w:marRight w:val="0"/>
      <w:marTop w:val="0"/>
      <w:marBottom w:val="0"/>
      <w:divBdr>
        <w:top w:val="none" w:sz="0" w:space="0" w:color="auto"/>
        <w:left w:val="none" w:sz="0" w:space="0" w:color="auto"/>
        <w:bottom w:val="none" w:sz="0" w:space="0" w:color="auto"/>
        <w:right w:val="none" w:sz="0" w:space="0" w:color="auto"/>
      </w:divBdr>
      <w:divsChild>
        <w:div w:id="1131945108">
          <w:marLeft w:val="0"/>
          <w:marRight w:val="0"/>
          <w:marTop w:val="0"/>
          <w:marBottom w:val="0"/>
          <w:divBdr>
            <w:top w:val="none" w:sz="0" w:space="0" w:color="auto"/>
            <w:left w:val="none" w:sz="0" w:space="0" w:color="auto"/>
            <w:bottom w:val="none" w:sz="0" w:space="0" w:color="auto"/>
            <w:right w:val="none" w:sz="0" w:space="0" w:color="auto"/>
          </w:divBdr>
        </w:div>
        <w:div w:id="1527716829">
          <w:marLeft w:val="0"/>
          <w:marRight w:val="0"/>
          <w:marTop w:val="0"/>
          <w:marBottom w:val="0"/>
          <w:divBdr>
            <w:top w:val="none" w:sz="0" w:space="0" w:color="auto"/>
            <w:left w:val="none" w:sz="0" w:space="0" w:color="auto"/>
            <w:bottom w:val="none" w:sz="0" w:space="0" w:color="auto"/>
            <w:right w:val="none" w:sz="0" w:space="0" w:color="auto"/>
          </w:divBdr>
        </w:div>
        <w:div w:id="178544403">
          <w:marLeft w:val="0"/>
          <w:marRight w:val="0"/>
          <w:marTop w:val="0"/>
          <w:marBottom w:val="0"/>
          <w:divBdr>
            <w:top w:val="none" w:sz="0" w:space="0" w:color="auto"/>
            <w:left w:val="none" w:sz="0" w:space="0" w:color="auto"/>
            <w:bottom w:val="none" w:sz="0" w:space="0" w:color="auto"/>
            <w:right w:val="none" w:sz="0" w:space="0" w:color="auto"/>
          </w:divBdr>
        </w:div>
        <w:div w:id="1915696486">
          <w:marLeft w:val="0"/>
          <w:marRight w:val="0"/>
          <w:marTop w:val="0"/>
          <w:marBottom w:val="0"/>
          <w:divBdr>
            <w:top w:val="none" w:sz="0" w:space="0" w:color="auto"/>
            <w:left w:val="none" w:sz="0" w:space="0" w:color="auto"/>
            <w:bottom w:val="none" w:sz="0" w:space="0" w:color="auto"/>
            <w:right w:val="none" w:sz="0" w:space="0" w:color="auto"/>
          </w:divBdr>
        </w:div>
        <w:div w:id="864563012">
          <w:marLeft w:val="0"/>
          <w:marRight w:val="0"/>
          <w:marTop w:val="0"/>
          <w:marBottom w:val="0"/>
          <w:divBdr>
            <w:top w:val="none" w:sz="0" w:space="0" w:color="auto"/>
            <w:left w:val="none" w:sz="0" w:space="0" w:color="auto"/>
            <w:bottom w:val="none" w:sz="0" w:space="0" w:color="auto"/>
            <w:right w:val="none" w:sz="0" w:space="0" w:color="auto"/>
          </w:divBdr>
        </w:div>
      </w:divsChild>
    </w:div>
    <w:div w:id="1622419786">
      <w:bodyDiv w:val="1"/>
      <w:marLeft w:val="0"/>
      <w:marRight w:val="0"/>
      <w:marTop w:val="0"/>
      <w:marBottom w:val="0"/>
      <w:divBdr>
        <w:top w:val="none" w:sz="0" w:space="0" w:color="auto"/>
        <w:left w:val="none" w:sz="0" w:space="0" w:color="auto"/>
        <w:bottom w:val="none" w:sz="0" w:space="0" w:color="auto"/>
        <w:right w:val="none" w:sz="0" w:space="0" w:color="auto"/>
      </w:divBdr>
    </w:div>
    <w:div w:id="1662656866">
      <w:bodyDiv w:val="1"/>
      <w:marLeft w:val="0"/>
      <w:marRight w:val="0"/>
      <w:marTop w:val="0"/>
      <w:marBottom w:val="0"/>
      <w:divBdr>
        <w:top w:val="none" w:sz="0" w:space="0" w:color="auto"/>
        <w:left w:val="none" w:sz="0" w:space="0" w:color="auto"/>
        <w:bottom w:val="none" w:sz="0" w:space="0" w:color="auto"/>
        <w:right w:val="none" w:sz="0" w:space="0" w:color="auto"/>
      </w:divBdr>
    </w:div>
    <w:div w:id="1718896427">
      <w:bodyDiv w:val="1"/>
      <w:marLeft w:val="0"/>
      <w:marRight w:val="0"/>
      <w:marTop w:val="0"/>
      <w:marBottom w:val="0"/>
      <w:divBdr>
        <w:top w:val="none" w:sz="0" w:space="0" w:color="auto"/>
        <w:left w:val="none" w:sz="0" w:space="0" w:color="auto"/>
        <w:bottom w:val="none" w:sz="0" w:space="0" w:color="auto"/>
        <w:right w:val="none" w:sz="0" w:space="0" w:color="auto"/>
      </w:divBdr>
    </w:div>
    <w:div w:id="1760829247">
      <w:bodyDiv w:val="1"/>
      <w:marLeft w:val="0"/>
      <w:marRight w:val="0"/>
      <w:marTop w:val="0"/>
      <w:marBottom w:val="0"/>
      <w:divBdr>
        <w:top w:val="none" w:sz="0" w:space="0" w:color="auto"/>
        <w:left w:val="none" w:sz="0" w:space="0" w:color="auto"/>
        <w:bottom w:val="none" w:sz="0" w:space="0" w:color="auto"/>
        <w:right w:val="none" w:sz="0" w:space="0" w:color="auto"/>
      </w:divBdr>
    </w:div>
    <w:div w:id="1775318375">
      <w:bodyDiv w:val="1"/>
      <w:marLeft w:val="0"/>
      <w:marRight w:val="0"/>
      <w:marTop w:val="0"/>
      <w:marBottom w:val="0"/>
      <w:divBdr>
        <w:top w:val="none" w:sz="0" w:space="0" w:color="auto"/>
        <w:left w:val="none" w:sz="0" w:space="0" w:color="auto"/>
        <w:bottom w:val="none" w:sz="0" w:space="0" w:color="auto"/>
        <w:right w:val="none" w:sz="0" w:space="0" w:color="auto"/>
      </w:divBdr>
      <w:divsChild>
        <w:div w:id="1325355964">
          <w:marLeft w:val="0"/>
          <w:marRight w:val="0"/>
          <w:marTop w:val="0"/>
          <w:marBottom w:val="0"/>
          <w:divBdr>
            <w:top w:val="none" w:sz="0" w:space="0" w:color="auto"/>
            <w:left w:val="none" w:sz="0" w:space="0" w:color="auto"/>
            <w:bottom w:val="none" w:sz="0" w:space="0" w:color="auto"/>
            <w:right w:val="none" w:sz="0" w:space="0" w:color="auto"/>
          </w:divBdr>
        </w:div>
        <w:div w:id="1748452636">
          <w:marLeft w:val="0"/>
          <w:marRight w:val="0"/>
          <w:marTop w:val="0"/>
          <w:marBottom w:val="0"/>
          <w:divBdr>
            <w:top w:val="none" w:sz="0" w:space="0" w:color="auto"/>
            <w:left w:val="none" w:sz="0" w:space="0" w:color="auto"/>
            <w:bottom w:val="none" w:sz="0" w:space="0" w:color="auto"/>
            <w:right w:val="none" w:sz="0" w:space="0" w:color="auto"/>
          </w:divBdr>
        </w:div>
      </w:divsChild>
    </w:div>
    <w:div w:id="1779254447">
      <w:bodyDiv w:val="1"/>
      <w:marLeft w:val="0"/>
      <w:marRight w:val="0"/>
      <w:marTop w:val="0"/>
      <w:marBottom w:val="0"/>
      <w:divBdr>
        <w:top w:val="none" w:sz="0" w:space="0" w:color="auto"/>
        <w:left w:val="none" w:sz="0" w:space="0" w:color="auto"/>
        <w:bottom w:val="none" w:sz="0" w:space="0" w:color="auto"/>
        <w:right w:val="none" w:sz="0" w:space="0" w:color="auto"/>
      </w:divBdr>
    </w:div>
    <w:div w:id="1794514695">
      <w:bodyDiv w:val="1"/>
      <w:marLeft w:val="0"/>
      <w:marRight w:val="0"/>
      <w:marTop w:val="0"/>
      <w:marBottom w:val="0"/>
      <w:divBdr>
        <w:top w:val="none" w:sz="0" w:space="0" w:color="auto"/>
        <w:left w:val="none" w:sz="0" w:space="0" w:color="auto"/>
        <w:bottom w:val="none" w:sz="0" w:space="0" w:color="auto"/>
        <w:right w:val="none" w:sz="0" w:space="0" w:color="auto"/>
      </w:divBdr>
    </w:div>
    <w:div w:id="1796873703">
      <w:bodyDiv w:val="1"/>
      <w:marLeft w:val="0"/>
      <w:marRight w:val="0"/>
      <w:marTop w:val="0"/>
      <w:marBottom w:val="0"/>
      <w:divBdr>
        <w:top w:val="none" w:sz="0" w:space="0" w:color="auto"/>
        <w:left w:val="none" w:sz="0" w:space="0" w:color="auto"/>
        <w:bottom w:val="none" w:sz="0" w:space="0" w:color="auto"/>
        <w:right w:val="none" w:sz="0" w:space="0" w:color="auto"/>
      </w:divBdr>
    </w:div>
    <w:div w:id="1799107129">
      <w:bodyDiv w:val="1"/>
      <w:marLeft w:val="0"/>
      <w:marRight w:val="0"/>
      <w:marTop w:val="0"/>
      <w:marBottom w:val="0"/>
      <w:divBdr>
        <w:top w:val="none" w:sz="0" w:space="0" w:color="auto"/>
        <w:left w:val="none" w:sz="0" w:space="0" w:color="auto"/>
        <w:bottom w:val="none" w:sz="0" w:space="0" w:color="auto"/>
        <w:right w:val="none" w:sz="0" w:space="0" w:color="auto"/>
      </w:divBdr>
    </w:div>
    <w:div w:id="1802842396">
      <w:bodyDiv w:val="1"/>
      <w:marLeft w:val="0"/>
      <w:marRight w:val="0"/>
      <w:marTop w:val="0"/>
      <w:marBottom w:val="0"/>
      <w:divBdr>
        <w:top w:val="none" w:sz="0" w:space="0" w:color="auto"/>
        <w:left w:val="none" w:sz="0" w:space="0" w:color="auto"/>
        <w:bottom w:val="none" w:sz="0" w:space="0" w:color="auto"/>
        <w:right w:val="none" w:sz="0" w:space="0" w:color="auto"/>
      </w:divBdr>
    </w:div>
    <w:div w:id="1817336142">
      <w:bodyDiv w:val="1"/>
      <w:marLeft w:val="0"/>
      <w:marRight w:val="0"/>
      <w:marTop w:val="0"/>
      <w:marBottom w:val="0"/>
      <w:divBdr>
        <w:top w:val="none" w:sz="0" w:space="0" w:color="auto"/>
        <w:left w:val="none" w:sz="0" w:space="0" w:color="auto"/>
        <w:bottom w:val="none" w:sz="0" w:space="0" w:color="auto"/>
        <w:right w:val="none" w:sz="0" w:space="0" w:color="auto"/>
      </w:divBdr>
    </w:div>
    <w:div w:id="1868788879">
      <w:bodyDiv w:val="1"/>
      <w:marLeft w:val="0"/>
      <w:marRight w:val="0"/>
      <w:marTop w:val="0"/>
      <w:marBottom w:val="0"/>
      <w:divBdr>
        <w:top w:val="none" w:sz="0" w:space="0" w:color="auto"/>
        <w:left w:val="none" w:sz="0" w:space="0" w:color="auto"/>
        <w:bottom w:val="none" w:sz="0" w:space="0" w:color="auto"/>
        <w:right w:val="none" w:sz="0" w:space="0" w:color="auto"/>
      </w:divBdr>
    </w:div>
    <w:div w:id="1872182069">
      <w:bodyDiv w:val="1"/>
      <w:marLeft w:val="0"/>
      <w:marRight w:val="0"/>
      <w:marTop w:val="0"/>
      <w:marBottom w:val="0"/>
      <w:divBdr>
        <w:top w:val="none" w:sz="0" w:space="0" w:color="auto"/>
        <w:left w:val="none" w:sz="0" w:space="0" w:color="auto"/>
        <w:bottom w:val="none" w:sz="0" w:space="0" w:color="auto"/>
        <w:right w:val="none" w:sz="0" w:space="0" w:color="auto"/>
      </w:divBdr>
    </w:div>
    <w:div w:id="1881891249">
      <w:bodyDiv w:val="1"/>
      <w:marLeft w:val="0"/>
      <w:marRight w:val="0"/>
      <w:marTop w:val="0"/>
      <w:marBottom w:val="0"/>
      <w:divBdr>
        <w:top w:val="none" w:sz="0" w:space="0" w:color="auto"/>
        <w:left w:val="none" w:sz="0" w:space="0" w:color="auto"/>
        <w:bottom w:val="none" w:sz="0" w:space="0" w:color="auto"/>
        <w:right w:val="none" w:sz="0" w:space="0" w:color="auto"/>
      </w:divBdr>
    </w:div>
    <w:div w:id="1923417361">
      <w:bodyDiv w:val="1"/>
      <w:marLeft w:val="0"/>
      <w:marRight w:val="0"/>
      <w:marTop w:val="0"/>
      <w:marBottom w:val="0"/>
      <w:divBdr>
        <w:top w:val="none" w:sz="0" w:space="0" w:color="auto"/>
        <w:left w:val="none" w:sz="0" w:space="0" w:color="auto"/>
        <w:bottom w:val="none" w:sz="0" w:space="0" w:color="auto"/>
        <w:right w:val="none" w:sz="0" w:space="0" w:color="auto"/>
      </w:divBdr>
    </w:div>
    <w:div w:id="1928726846">
      <w:bodyDiv w:val="1"/>
      <w:marLeft w:val="0"/>
      <w:marRight w:val="0"/>
      <w:marTop w:val="0"/>
      <w:marBottom w:val="0"/>
      <w:divBdr>
        <w:top w:val="none" w:sz="0" w:space="0" w:color="auto"/>
        <w:left w:val="none" w:sz="0" w:space="0" w:color="auto"/>
        <w:bottom w:val="none" w:sz="0" w:space="0" w:color="auto"/>
        <w:right w:val="none" w:sz="0" w:space="0" w:color="auto"/>
      </w:divBdr>
    </w:div>
    <w:div w:id="1971354289">
      <w:bodyDiv w:val="1"/>
      <w:marLeft w:val="0"/>
      <w:marRight w:val="0"/>
      <w:marTop w:val="0"/>
      <w:marBottom w:val="0"/>
      <w:divBdr>
        <w:top w:val="none" w:sz="0" w:space="0" w:color="auto"/>
        <w:left w:val="none" w:sz="0" w:space="0" w:color="auto"/>
        <w:bottom w:val="none" w:sz="0" w:space="0" w:color="auto"/>
        <w:right w:val="none" w:sz="0" w:space="0" w:color="auto"/>
      </w:divBdr>
    </w:div>
    <w:div w:id="1993675651">
      <w:bodyDiv w:val="1"/>
      <w:marLeft w:val="0"/>
      <w:marRight w:val="0"/>
      <w:marTop w:val="0"/>
      <w:marBottom w:val="0"/>
      <w:divBdr>
        <w:top w:val="none" w:sz="0" w:space="0" w:color="auto"/>
        <w:left w:val="none" w:sz="0" w:space="0" w:color="auto"/>
        <w:bottom w:val="none" w:sz="0" w:space="0" w:color="auto"/>
        <w:right w:val="none" w:sz="0" w:space="0" w:color="auto"/>
      </w:divBdr>
    </w:div>
    <w:div w:id="2035419464">
      <w:bodyDiv w:val="1"/>
      <w:marLeft w:val="0"/>
      <w:marRight w:val="0"/>
      <w:marTop w:val="0"/>
      <w:marBottom w:val="0"/>
      <w:divBdr>
        <w:top w:val="none" w:sz="0" w:space="0" w:color="auto"/>
        <w:left w:val="none" w:sz="0" w:space="0" w:color="auto"/>
        <w:bottom w:val="none" w:sz="0" w:space="0" w:color="auto"/>
        <w:right w:val="none" w:sz="0" w:space="0" w:color="auto"/>
      </w:divBdr>
    </w:div>
    <w:div w:id="2101750407">
      <w:bodyDiv w:val="1"/>
      <w:marLeft w:val="0"/>
      <w:marRight w:val="0"/>
      <w:marTop w:val="0"/>
      <w:marBottom w:val="0"/>
      <w:divBdr>
        <w:top w:val="none" w:sz="0" w:space="0" w:color="auto"/>
        <w:left w:val="none" w:sz="0" w:space="0" w:color="auto"/>
        <w:bottom w:val="none" w:sz="0" w:space="0" w:color="auto"/>
        <w:right w:val="none" w:sz="0" w:space="0" w:color="auto"/>
      </w:divBdr>
    </w:div>
    <w:div w:id="211513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522C7-A01C-464B-AE9C-487A2292D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5512</TotalTime>
  <Pages>35</Pages>
  <Words>42204</Words>
  <Characters>240567</Characters>
  <Application>Microsoft Office Word</Application>
  <DocSecurity>0</DocSecurity>
  <Lines>2004</Lines>
  <Paragraphs>564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282207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Lin, Ines</dc:creator>
  <cp:keywords/>
  <dc:description/>
  <cp:lastModifiedBy>Hallett, Timothy B</cp:lastModifiedBy>
  <cp:revision>129</cp:revision>
  <dcterms:created xsi:type="dcterms:W3CDTF">2020-10-12T15:24:00Z</dcterms:created>
  <dcterms:modified xsi:type="dcterms:W3CDTF">2021-07-21T14:45:00Z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7bc5a560-3e19-3b27-a45e-281d5139a350</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