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00D11" w14:textId="04B79768" w:rsidR="0089492A" w:rsidRPr="00DC58BA" w:rsidRDefault="0089492A" w:rsidP="0089492A">
      <w:pPr>
        <w:rPr>
          <w:b/>
          <w:color w:val="A8D08D" w:themeColor="accent6" w:themeTint="99"/>
          <w:sz w:val="28"/>
          <w:szCs w:val="28"/>
        </w:rPr>
      </w:pPr>
      <w:bookmarkStart w:id="0" w:name="_GoBack"/>
      <w:bookmarkEnd w:id="0"/>
      <w:r w:rsidRPr="00DC58BA">
        <w:rPr>
          <w:b/>
          <w:color w:val="A8D08D" w:themeColor="accent6" w:themeTint="99"/>
          <w:sz w:val="28"/>
          <w:szCs w:val="28"/>
        </w:rPr>
        <w:t xml:space="preserve">Modelling of </w:t>
      </w:r>
      <w:r w:rsidR="004863B3">
        <w:rPr>
          <w:b/>
          <w:color w:val="A8D08D" w:themeColor="accent6" w:themeTint="99"/>
          <w:sz w:val="28"/>
          <w:szCs w:val="28"/>
        </w:rPr>
        <w:t>the p</w:t>
      </w:r>
      <w:r w:rsidR="00DC58BA">
        <w:rPr>
          <w:b/>
          <w:color w:val="A8D08D" w:themeColor="accent6" w:themeTint="99"/>
          <w:sz w:val="28"/>
          <w:szCs w:val="28"/>
        </w:rPr>
        <w:t>ostnatal</w:t>
      </w:r>
      <w:r w:rsidR="004863B3">
        <w:rPr>
          <w:b/>
          <w:color w:val="A8D08D" w:themeColor="accent6" w:themeTint="99"/>
          <w:sz w:val="28"/>
          <w:szCs w:val="28"/>
        </w:rPr>
        <w:t xml:space="preserve"> period</w:t>
      </w:r>
      <w:r w:rsidRPr="00DC58BA">
        <w:rPr>
          <w:b/>
          <w:bCs/>
          <w:color w:val="A8D08D" w:themeColor="accent6" w:themeTint="99"/>
          <w:sz w:val="28"/>
          <w:szCs w:val="28"/>
        </w:rPr>
        <w:t xml:space="preserve"> </w:t>
      </w:r>
      <w:r w:rsidR="004863B3">
        <w:rPr>
          <w:b/>
          <w:bCs/>
          <w:color w:val="A8D08D" w:themeColor="accent6" w:themeTint="99"/>
          <w:sz w:val="28"/>
          <w:szCs w:val="28"/>
        </w:rPr>
        <w:t xml:space="preserve">of pregnancy </w:t>
      </w:r>
      <w:r w:rsidRPr="00DC58BA">
        <w:rPr>
          <w:b/>
          <w:bCs/>
          <w:color w:val="A8D08D" w:themeColor="accent6" w:themeTint="99"/>
          <w:sz w:val="28"/>
          <w:szCs w:val="28"/>
        </w:rPr>
        <w:t xml:space="preserve">within the </w:t>
      </w:r>
      <w:r w:rsidRPr="00DC58BA">
        <w:rPr>
          <w:b/>
          <w:color w:val="A8D08D" w:themeColor="accent6" w:themeTint="99"/>
          <w:sz w:val="28"/>
          <w:szCs w:val="28"/>
        </w:rPr>
        <w:t>Thanzi La Onse Model</w:t>
      </w:r>
    </w:p>
    <w:p w14:paraId="47F210B4" w14:textId="77777777" w:rsidR="0089492A" w:rsidRPr="00DC58BA" w:rsidRDefault="0089492A" w:rsidP="00CD26EB">
      <w:pPr>
        <w:spacing w:line="360" w:lineRule="auto"/>
        <w:rPr>
          <w:b/>
          <w:bCs/>
          <w:color w:val="A8D08D" w:themeColor="accent6" w:themeTint="99"/>
        </w:rPr>
      </w:pPr>
      <w:r w:rsidRPr="00DC58BA">
        <w:rPr>
          <w:b/>
          <w:bCs/>
          <w:color w:val="A8D08D" w:themeColor="accent6" w:themeTint="99"/>
        </w:rPr>
        <w:t>Background: The Thanzi La Onse Model</w:t>
      </w:r>
    </w:p>
    <w:p w14:paraId="2C77A6D4" w14:textId="50548B30" w:rsidR="0089492A" w:rsidRPr="00A915AF" w:rsidRDefault="0089492A" w:rsidP="00CD26EB">
      <w:pPr>
        <w:spacing w:line="360" w:lineRule="auto"/>
        <w:rPr>
          <w:bCs/>
        </w:rPr>
      </w:pPr>
      <w:r>
        <w:rPr>
          <w:bCs/>
        </w:rPr>
        <w:t>As part of the Thanzi La Onse program a model is being developed which aims to capture the health experiences of the population of Malawi and the consequent interactions with the health care system.  The intent is that this model will help to inform future delivery of health care in Malawi.  The model is an individual based model – which means we explicitly simulate the individual life and health experiences of a representative proportion of population of Malawi.  The simulation initiates on 1 Jan 2010 and we attempt to simulate the attributes of the population at that point.  We can run the model forward to any specified future time point.   Each potential intervention and its associated diseases are being modelled.  This is being divided into separate disease/intervention modules.  This document describes the module on</w:t>
      </w:r>
      <w:r w:rsidR="00DC58BA">
        <w:rPr>
          <w:bCs/>
        </w:rPr>
        <w:t xml:space="preserve"> </w:t>
      </w:r>
      <w:r w:rsidR="00FC6522">
        <w:rPr>
          <w:bCs/>
        </w:rPr>
        <w:t>the postnatal period of pregnancy.</w:t>
      </w:r>
    </w:p>
    <w:p w14:paraId="0547D9E7" w14:textId="77777777" w:rsidR="0089492A" w:rsidRPr="00DC58BA" w:rsidRDefault="0089492A" w:rsidP="00CD26EB">
      <w:pPr>
        <w:spacing w:line="360" w:lineRule="auto"/>
        <w:rPr>
          <w:b/>
          <w:bCs/>
          <w:color w:val="A8D08D" w:themeColor="accent6" w:themeTint="99"/>
        </w:rPr>
      </w:pPr>
      <w:r w:rsidRPr="00DC58BA">
        <w:rPr>
          <w:b/>
          <w:bCs/>
          <w:color w:val="A8D08D" w:themeColor="accent6" w:themeTint="99"/>
        </w:rPr>
        <w:t>Background: General approach to decisions on modelling causal influences and effects of interventions</w:t>
      </w:r>
    </w:p>
    <w:p w14:paraId="307F1FF3" w14:textId="77777777" w:rsidR="0089492A" w:rsidRPr="0008547E" w:rsidRDefault="0089492A" w:rsidP="00CD26EB">
      <w:pPr>
        <w:spacing w:line="360" w:lineRule="auto"/>
        <w:rPr>
          <w:bCs/>
        </w:rPr>
      </w:pPr>
      <w:r>
        <w:rPr>
          <w:bCs/>
        </w:rPr>
        <w:t xml:space="preserve">This module was designed in the context of an overall approach to modelling causal effects in general and causal effects of interventions in particular.  </w:t>
      </w:r>
      <w:r>
        <w:t>The overall intent is to adopt as simple a structure as can be conceived, whilst still capturing the essential elements of a disease and the interventions used to prevent or treatment.  We include a causal link between a “variable” (by which we mean a characteristic or property of an individual, whether that be demographic, social or biologic), and risk of disease or another variable if there is strong evidence from an overall body of studies that such a causal link exists and is at least moderately strong.  In informing such decisions we place particular value on RCTs or studies with a quasi-experimental design such as analyses based on an instrumental variable. There is no expectation that such studies will be from Malawi or even from Africa.  If there are such local studies and in the unlikely event that they provide strong evidence to suggest that the causal link is substantively different in Malawi then the intent is that this is taken into account and the Malawi-specific link included.</w:t>
      </w:r>
    </w:p>
    <w:p w14:paraId="17F98D7D" w14:textId="77777777" w:rsidR="0089492A" w:rsidRDefault="0089492A" w:rsidP="00CD26EB">
      <w:pPr>
        <w:spacing w:line="360" w:lineRule="auto"/>
      </w:pPr>
      <w:r>
        <w:t xml:space="preserve">In the special case of a potential causal variable which relates to whether an individual has experienced or is experiencing an intervention the intent is to 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our intent has been to form our own opinion on intervention efficacy based on the source trials.  </w:t>
      </w:r>
    </w:p>
    <w:p w14:paraId="5BB5B094" w14:textId="77777777" w:rsidR="00F53403" w:rsidRPr="00CD26EB" w:rsidRDefault="0089492A" w:rsidP="00CD26EB">
      <w:pPr>
        <w:spacing w:line="360" w:lineRule="auto"/>
      </w:pPr>
      <w:r>
        <w:lastRenderedPageBreak/>
        <w:t>Unless there is evidence to the contrary, the intent is to summarize and incorporate intervention effects into the model as relative risks or rates rather than absolute differences due to the fact that such measures are less likely to differ substantively by context.   Interactions between characteristics (on the multiplicative scale) are only to be incorporated if there is strong evidence.  Again, we have not intended to rely on data from Malawi or Africa for such evidence but if local evidence exists which strongly suggests a different effect than elsewhere then the intent is that this modified effect is incorporated in the model.</w:t>
      </w:r>
    </w:p>
    <w:p w14:paraId="6443F222" w14:textId="77777777" w:rsidR="0089492A" w:rsidRPr="00B3649D" w:rsidRDefault="0089492A" w:rsidP="00CD26EB">
      <w:pPr>
        <w:spacing w:line="360" w:lineRule="auto"/>
        <w:rPr>
          <w:b/>
          <w:bCs/>
        </w:rPr>
      </w:pPr>
      <w:r w:rsidRPr="00B3649D">
        <w:rPr>
          <w:b/>
          <w:bCs/>
        </w:rPr>
        <w:t>Background:  Demographic and social characteristics modelled</w:t>
      </w:r>
    </w:p>
    <w:p w14:paraId="73D2C0E4" w14:textId="426133F3" w:rsidR="00FC6522" w:rsidRPr="00FC6522" w:rsidRDefault="0089492A" w:rsidP="00FC6522">
      <w:pPr>
        <w:spacing w:line="360" w:lineRule="auto"/>
      </w:pPr>
      <w:r>
        <w:t>Based on data on the distribution of the population in Malawi according to geographic location we assign individuals a geographic location, which maps onto whether they are classified as living in a rural or urban area.  Informed largely by data from the Malawi DHS, variables are also created indicating the person’s wealth level (based on 5 quintiles), whether the person has access to improved sanitation, clean drinking water, hand washing facilities, and whether they experience indoor air pollution (wood burning stove).  We assign individuals a current education status (none, primary, secondary) which is updated 3 monthly from age 5 to 20.  We assign individuals a current education status (none, primary, secondary) which is updated 3 monthly from age 5 to 20.  From age 15 on BMI (in 5 groups) is assigned, as well as using tobacco, drinking excess alcohol, having low exercise, high salt intake, high sugar intake.  The status with regard to such variables for individuals can change over time.  The influences between these variables are described in detail in a separate document.</w:t>
      </w:r>
    </w:p>
    <w:p w14:paraId="05FA142C" w14:textId="77777777" w:rsidR="00F80E93" w:rsidRDefault="00F80E93" w:rsidP="00FC6522">
      <w:pPr>
        <w:spacing w:line="360" w:lineRule="auto"/>
        <w:rPr>
          <w:b/>
          <w:bCs/>
          <w:color w:val="A8D08D" w:themeColor="accent6" w:themeTint="99"/>
        </w:rPr>
      </w:pPr>
    </w:p>
    <w:p w14:paraId="0D1B4B23" w14:textId="77777777" w:rsidR="00F80E93" w:rsidRDefault="00F80E93" w:rsidP="00FC6522">
      <w:pPr>
        <w:spacing w:line="360" w:lineRule="auto"/>
        <w:rPr>
          <w:b/>
          <w:bCs/>
          <w:color w:val="A8D08D" w:themeColor="accent6" w:themeTint="99"/>
        </w:rPr>
      </w:pPr>
    </w:p>
    <w:p w14:paraId="005A9617" w14:textId="77777777" w:rsidR="00F80E93" w:rsidRDefault="00F80E93" w:rsidP="00FC6522">
      <w:pPr>
        <w:spacing w:line="360" w:lineRule="auto"/>
        <w:rPr>
          <w:b/>
          <w:bCs/>
          <w:color w:val="A8D08D" w:themeColor="accent6" w:themeTint="99"/>
        </w:rPr>
      </w:pPr>
    </w:p>
    <w:p w14:paraId="657D4A09" w14:textId="77777777" w:rsidR="00F80E93" w:rsidRDefault="00F80E93" w:rsidP="00FC6522">
      <w:pPr>
        <w:spacing w:line="360" w:lineRule="auto"/>
        <w:rPr>
          <w:b/>
          <w:bCs/>
          <w:color w:val="A8D08D" w:themeColor="accent6" w:themeTint="99"/>
        </w:rPr>
      </w:pPr>
    </w:p>
    <w:p w14:paraId="73647B75" w14:textId="77777777" w:rsidR="00F80E93" w:rsidRDefault="00F80E93" w:rsidP="00FC6522">
      <w:pPr>
        <w:spacing w:line="360" w:lineRule="auto"/>
        <w:rPr>
          <w:b/>
          <w:bCs/>
          <w:color w:val="A8D08D" w:themeColor="accent6" w:themeTint="99"/>
        </w:rPr>
      </w:pPr>
    </w:p>
    <w:p w14:paraId="08E9C61C" w14:textId="77777777" w:rsidR="00F80E93" w:rsidRDefault="00F80E93" w:rsidP="00FC6522">
      <w:pPr>
        <w:spacing w:line="360" w:lineRule="auto"/>
        <w:rPr>
          <w:b/>
          <w:bCs/>
          <w:color w:val="A8D08D" w:themeColor="accent6" w:themeTint="99"/>
        </w:rPr>
      </w:pPr>
    </w:p>
    <w:p w14:paraId="458AFBC0" w14:textId="77777777" w:rsidR="00F80E93" w:rsidRDefault="00F80E93" w:rsidP="00FC6522">
      <w:pPr>
        <w:spacing w:line="360" w:lineRule="auto"/>
        <w:rPr>
          <w:b/>
          <w:bCs/>
          <w:color w:val="A8D08D" w:themeColor="accent6" w:themeTint="99"/>
        </w:rPr>
      </w:pPr>
    </w:p>
    <w:p w14:paraId="1FA0DBAB" w14:textId="77777777" w:rsidR="00F80E93" w:rsidRDefault="00F80E93" w:rsidP="00FC6522">
      <w:pPr>
        <w:spacing w:line="360" w:lineRule="auto"/>
        <w:rPr>
          <w:b/>
          <w:bCs/>
          <w:color w:val="A8D08D" w:themeColor="accent6" w:themeTint="99"/>
        </w:rPr>
      </w:pPr>
    </w:p>
    <w:p w14:paraId="297B9E48" w14:textId="77777777" w:rsidR="00F80E93" w:rsidRDefault="00F80E93" w:rsidP="00FC6522">
      <w:pPr>
        <w:spacing w:line="360" w:lineRule="auto"/>
        <w:rPr>
          <w:b/>
          <w:bCs/>
          <w:color w:val="A8D08D" w:themeColor="accent6" w:themeTint="99"/>
        </w:rPr>
      </w:pPr>
    </w:p>
    <w:p w14:paraId="56F96E5B" w14:textId="77777777" w:rsidR="00F80E93" w:rsidRDefault="00F80E93" w:rsidP="00FC6522">
      <w:pPr>
        <w:spacing w:line="360" w:lineRule="auto"/>
        <w:rPr>
          <w:b/>
          <w:bCs/>
          <w:color w:val="A8D08D" w:themeColor="accent6" w:themeTint="99"/>
        </w:rPr>
      </w:pPr>
    </w:p>
    <w:p w14:paraId="04F9302D" w14:textId="5C9EE664" w:rsidR="00FC6522" w:rsidRPr="00FC6522" w:rsidRDefault="00FC6522" w:rsidP="00FC6522">
      <w:pPr>
        <w:spacing w:line="360" w:lineRule="auto"/>
        <w:rPr>
          <w:b/>
          <w:bCs/>
          <w:color w:val="A8D08D" w:themeColor="accent6" w:themeTint="99"/>
        </w:rPr>
      </w:pPr>
      <w:r w:rsidRPr="00FC6522">
        <w:rPr>
          <w:b/>
          <w:bCs/>
          <w:color w:val="A8D08D" w:themeColor="accent6" w:themeTint="99"/>
        </w:rPr>
        <w:lastRenderedPageBreak/>
        <w:t>Approach to modelling a natural history of the postnatal period of pregnancy: rationale for model structure and choice of parameter values</w:t>
      </w:r>
    </w:p>
    <w:p w14:paraId="2BADB446" w14:textId="3B3DFD00" w:rsidR="00547F80" w:rsidRDefault="00FC6522" w:rsidP="00547F80">
      <w:pPr>
        <w:spacing w:line="360" w:lineRule="auto"/>
      </w:pPr>
      <w:r w:rsidRPr="009C72E7">
        <w:t>This model describes the maternal and neonatal outcomes of the postnatal and neonatal period</w:t>
      </w:r>
      <w:r w:rsidR="009C72E7">
        <w:t>s (see table 1) including interventions reasonably delivered as part of</w:t>
      </w:r>
      <w:r w:rsidR="00535D85">
        <w:t xml:space="preserve"> routine</w:t>
      </w:r>
      <w:r w:rsidR="009C72E7">
        <w:t xml:space="preserve"> postnatal care (PNC)</w:t>
      </w:r>
      <w:r w:rsidR="00535D85">
        <w:t xml:space="preserve"> inpatient care for mothers and newborns with complications during this time</w:t>
      </w:r>
      <w:r w:rsidR="009C72E7">
        <w:t>. Determining individual outcomes for mother and newborns within the first 24-48 hours after birth is managed by the labour and newbor</w:t>
      </w:r>
      <w:r w:rsidR="00547F80">
        <w:t>n outcome models respectively – p</w:t>
      </w:r>
      <w:r w:rsidR="009C72E7">
        <w:t>lease see the associated methods documents for a full description of this.  As with all maternal and perinatal health models a natural history approach was used to develop this model. We have modelled the onset and progression of each condition (where appropriate), including the causal impact of predictor variables, in the absence of healthcare interventions. Likelihood of death, calculated as described below, is applied to all women or neonates who develop complications associated with the postnatal period.</w:t>
      </w:r>
    </w:p>
    <w:p w14:paraId="3D19BDAA" w14:textId="513CFC73" w:rsidR="00F13DCB" w:rsidRPr="00547F80" w:rsidRDefault="00F53403" w:rsidP="00547F80">
      <w:pPr>
        <w:spacing w:line="360" w:lineRule="auto"/>
      </w:pPr>
      <w:r w:rsidRPr="00F53403">
        <w:rPr>
          <w:b/>
          <w:bCs/>
          <w:color w:val="767171" w:themeColor="background2" w:themeShade="80"/>
        </w:rPr>
        <w:t xml:space="preserve">Table 1.  Definitions </w:t>
      </w:r>
      <w:r>
        <w:rPr>
          <w:b/>
          <w:bCs/>
          <w:color w:val="767171" w:themeColor="background2" w:themeShade="80"/>
        </w:rPr>
        <w:t>used within this module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F53403" w:rsidRPr="009731C7" w14:paraId="39CBFD98" w14:textId="77777777" w:rsidTr="0045336E">
        <w:trPr>
          <w:trHeight w:val="70"/>
        </w:trPr>
        <w:tc>
          <w:tcPr>
            <w:tcW w:w="2405" w:type="dxa"/>
            <w:shd w:val="clear" w:color="auto" w:fill="D0CECE" w:themeFill="background2" w:themeFillShade="E6"/>
          </w:tcPr>
          <w:p w14:paraId="1F8DF4A8" w14:textId="77777777" w:rsidR="00F53403" w:rsidRPr="009731C7" w:rsidRDefault="00F53403" w:rsidP="0045336E">
            <w:pPr>
              <w:rPr>
                <w:b/>
                <w:bCs/>
              </w:rPr>
            </w:pPr>
            <w:r w:rsidRPr="009731C7">
              <w:rPr>
                <w:b/>
                <w:bCs/>
              </w:rPr>
              <w:t>Term</w:t>
            </w:r>
          </w:p>
        </w:tc>
        <w:tc>
          <w:tcPr>
            <w:tcW w:w="6611" w:type="dxa"/>
            <w:shd w:val="clear" w:color="auto" w:fill="D0CECE" w:themeFill="background2" w:themeFillShade="E6"/>
          </w:tcPr>
          <w:p w14:paraId="23EF98F7" w14:textId="77777777" w:rsidR="00F53403" w:rsidRPr="009731C7" w:rsidRDefault="00F53403" w:rsidP="0045336E">
            <w:pPr>
              <w:rPr>
                <w:b/>
              </w:rPr>
            </w:pPr>
            <w:r w:rsidRPr="009731C7">
              <w:rPr>
                <w:b/>
                <w:bCs/>
              </w:rPr>
              <w:t>Definition and Source</w:t>
            </w:r>
          </w:p>
        </w:tc>
      </w:tr>
      <w:tr w:rsidR="00547F80" w:rsidRPr="00D64DE7" w14:paraId="773A8AF5" w14:textId="77777777" w:rsidTr="0045336E">
        <w:trPr>
          <w:trHeight w:val="399"/>
        </w:trPr>
        <w:tc>
          <w:tcPr>
            <w:tcW w:w="2405" w:type="dxa"/>
            <w:shd w:val="clear" w:color="auto" w:fill="E7E6E6" w:themeFill="background2"/>
          </w:tcPr>
          <w:p w14:paraId="23A17B4C" w14:textId="7ED6A81B" w:rsidR="00547F80" w:rsidRDefault="00547F80" w:rsidP="00547F80">
            <w:pPr>
              <w:rPr>
                <w:bCs/>
                <w:i/>
                <w:color w:val="808080" w:themeColor="background1" w:themeShade="80"/>
              </w:rPr>
            </w:pPr>
            <w:r>
              <w:rPr>
                <w:bCs/>
                <w:i/>
                <w:color w:val="808080" w:themeColor="background1" w:themeShade="80"/>
              </w:rPr>
              <w:t xml:space="preserve">Postnatal </w:t>
            </w:r>
            <w:r w:rsidRPr="00933916">
              <w:rPr>
                <w:bCs/>
                <w:i/>
                <w:color w:val="808080" w:themeColor="background1" w:themeShade="80"/>
              </w:rPr>
              <w:t xml:space="preserve"> Period</w:t>
            </w:r>
          </w:p>
          <w:p w14:paraId="6ED92DBA" w14:textId="51649AF3" w:rsidR="00547F80" w:rsidRDefault="00547F80" w:rsidP="00547F80">
            <w:pPr>
              <w:rPr>
                <w:bCs/>
                <w:i/>
                <w:color w:val="808080" w:themeColor="background1" w:themeShade="80"/>
              </w:rPr>
            </w:pPr>
          </w:p>
        </w:tc>
        <w:tc>
          <w:tcPr>
            <w:tcW w:w="6611" w:type="dxa"/>
            <w:shd w:val="clear" w:color="auto" w:fill="F2F2F2" w:themeFill="background1" w:themeFillShade="F2"/>
          </w:tcPr>
          <w:p w14:paraId="03DE7843" w14:textId="77777777" w:rsidR="00547F80" w:rsidRPr="00887441" w:rsidRDefault="00547F80" w:rsidP="00547F80">
            <w:pPr>
              <w:spacing w:line="276" w:lineRule="auto"/>
              <w:rPr>
                <w:i/>
              </w:rPr>
            </w:pPr>
            <w:r w:rsidRPr="00887441">
              <w:rPr>
                <w:i/>
              </w:rPr>
              <w:t>The period beginning immediately after the birth of the baby and extending up to six weeks (42 days) after birth (WHO 2010)</w:t>
            </w:r>
          </w:p>
          <w:p w14:paraId="1CBC19E8" w14:textId="1594ADDB" w:rsidR="00547F80" w:rsidRPr="00887441" w:rsidRDefault="00547F80" w:rsidP="00547F80">
            <w:pPr>
              <w:spacing w:line="276" w:lineRule="auto"/>
              <w:rPr>
                <w:i/>
              </w:rPr>
            </w:pPr>
          </w:p>
        </w:tc>
      </w:tr>
      <w:tr w:rsidR="00547F80" w:rsidRPr="00D64DE7" w14:paraId="18EA2917" w14:textId="77777777" w:rsidTr="0045336E">
        <w:trPr>
          <w:trHeight w:val="399"/>
        </w:trPr>
        <w:tc>
          <w:tcPr>
            <w:tcW w:w="2405" w:type="dxa"/>
            <w:shd w:val="clear" w:color="auto" w:fill="E7E6E6" w:themeFill="background2"/>
          </w:tcPr>
          <w:p w14:paraId="6A371ACA" w14:textId="77777777" w:rsidR="00547F80" w:rsidRDefault="00547F80" w:rsidP="00547F80">
            <w:pPr>
              <w:rPr>
                <w:bCs/>
                <w:i/>
                <w:color w:val="808080" w:themeColor="background1" w:themeShade="80"/>
              </w:rPr>
            </w:pPr>
            <w:r w:rsidRPr="00933916">
              <w:rPr>
                <w:bCs/>
                <w:i/>
                <w:color w:val="808080" w:themeColor="background1" w:themeShade="80"/>
              </w:rPr>
              <w:t xml:space="preserve">Neonatal period </w:t>
            </w:r>
          </w:p>
          <w:p w14:paraId="07CFF77E" w14:textId="77777777" w:rsidR="00547F80" w:rsidRPr="00933916" w:rsidRDefault="00547F80" w:rsidP="00547F80">
            <w:pPr>
              <w:rPr>
                <w:bCs/>
                <w:i/>
                <w:color w:val="808080" w:themeColor="background1" w:themeShade="80"/>
              </w:rPr>
            </w:pPr>
          </w:p>
        </w:tc>
        <w:tc>
          <w:tcPr>
            <w:tcW w:w="6611" w:type="dxa"/>
            <w:shd w:val="clear" w:color="auto" w:fill="F2F2F2" w:themeFill="background1" w:themeFillShade="F2"/>
          </w:tcPr>
          <w:p w14:paraId="24D4CCAD" w14:textId="77777777" w:rsidR="00547F80" w:rsidRPr="00887441" w:rsidRDefault="00547F80" w:rsidP="00547F80">
            <w:pPr>
              <w:spacing w:line="276" w:lineRule="auto"/>
              <w:rPr>
                <w:i/>
              </w:rPr>
            </w:pPr>
            <w:r w:rsidRPr="00887441">
              <w:rPr>
                <w:i/>
              </w:rPr>
              <w:t>The first 28 days of a child’s life (WHO 2006)</w:t>
            </w:r>
          </w:p>
          <w:p w14:paraId="505646E2" w14:textId="08B863AE" w:rsidR="00547F80" w:rsidRPr="00887441" w:rsidRDefault="00547F80" w:rsidP="00547F80">
            <w:pPr>
              <w:spacing w:line="276" w:lineRule="auto"/>
              <w:rPr>
                <w:i/>
              </w:rPr>
            </w:pPr>
          </w:p>
        </w:tc>
      </w:tr>
      <w:tr w:rsidR="00547F80" w:rsidRPr="00D64DE7" w14:paraId="08ED07F3" w14:textId="77777777" w:rsidTr="0045336E">
        <w:trPr>
          <w:trHeight w:val="399"/>
        </w:trPr>
        <w:tc>
          <w:tcPr>
            <w:tcW w:w="2405" w:type="dxa"/>
            <w:shd w:val="clear" w:color="auto" w:fill="E7E6E6" w:themeFill="background2"/>
          </w:tcPr>
          <w:p w14:paraId="3D930B30" w14:textId="0856AC81" w:rsidR="00547F80" w:rsidRPr="00933916" w:rsidRDefault="00547F80" w:rsidP="00547F80">
            <w:pPr>
              <w:rPr>
                <w:bCs/>
                <w:i/>
                <w:color w:val="808080" w:themeColor="background1" w:themeShade="80"/>
              </w:rPr>
            </w:pPr>
            <w:r>
              <w:rPr>
                <w:bCs/>
                <w:i/>
                <w:color w:val="808080" w:themeColor="background1" w:themeShade="80"/>
              </w:rPr>
              <w:t>Early neonatal period</w:t>
            </w:r>
          </w:p>
        </w:tc>
        <w:tc>
          <w:tcPr>
            <w:tcW w:w="6611" w:type="dxa"/>
            <w:shd w:val="clear" w:color="auto" w:fill="F2F2F2" w:themeFill="background1" w:themeFillShade="F2"/>
          </w:tcPr>
          <w:p w14:paraId="00247F53" w14:textId="12BCC0BF" w:rsidR="00547F80" w:rsidRPr="00887441" w:rsidRDefault="00547F80" w:rsidP="00547F80">
            <w:pPr>
              <w:spacing w:line="276" w:lineRule="auto"/>
              <w:rPr>
                <w:i/>
              </w:rPr>
            </w:pPr>
            <w:r w:rsidRPr="00887441">
              <w:rPr>
                <w:i/>
              </w:rPr>
              <w:t xml:space="preserve">Days 0-6 of a child’s life </w:t>
            </w:r>
            <w:r w:rsidRPr="00887441">
              <w:rPr>
                <w:i/>
              </w:rPr>
              <w:fldChar w:fldCharType="begin" w:fldLock="1"/>
            </w:r>
            <w:r w:rsidRPr="00887441">
              <w:rPr>
                <w:i/>
              </w:rPr>
              <w:instrText>ADDIN CSL_CITATION {"citationItems":[{"id":"ITEM-1","itemData":{"DOI":"10.2471/BLT.14.139790","author":[{"dropping-particle":"","family":"Oza","given":"Shefali","non-dropping-particle":"","parse-names":false,"suffix":""},{"dropping-particle":"","family":"Lawn","given":"Joy E","non-dropping-particle":"","parse-names":false,"suffix":""},{"dropping-particle":"","family":"Hogan","given":"Daniel R","non-dropping-particle":"","parse-names":false,"suffix":""},{"dropping-particle":"","family":"Mathers","given":"Colin","non-dropping-particle":"","parse-names":false,"suffix":""},{"dropping-particle":"","family":"Cousens","given":"Simon N","non-dropping-particle":"","parse-names":false,"suffix":""}],"container-title":"Bull World Health Organ","id":"ITEM-1","issued":{"date-parts":[["2015"]]},"page":"19-28","title":"Neonatal cause-of-death estimates for the early and late neonatal periods for 194 countries: 2000-2013","type":"article-journal","volume":"93"},"uris":["http://www.mendeley.com/documents/?uuid=e24abcbd-b2b2-35a3-acd5-111c18e2f4d4"]}],"mendeley":{"formattedCitation":"(Oza &lt;i&gt;et al.&lt;/i&gt;, 2015)","plainTextFormattedCitation":"(Oza et al., 2015)","previouslyFormattedCitation":"(Oza &lt;i&gt;et al.&lt;/i&gt;, 2015)"},"properties":{"noteIndex":0},"schema":"https://github.com/citation-style-language/schema/raw/master/csl-citation.json"}</w:instrText>
            </w:r>
            <w:r w:rsidRPr="00887441">
              <w:rPr>
                <w:i/>
              </w:rPr>
              <w:fldChar w:fldCharType="separate"/>
            </w:r>
            <w:r w:rsidRPr="00887441">
              <w:rPr>
                <w:i/>
                <w:noProof/>
              </w:rPr>
              <w:t>(Oza et al., 2015)</w:t>
            </w:r>
            <w:r w:rsidRPr="00887441">
              <w:rPr>
                <w:i/>
              </w:rPr>
              <w:fldChar w:fldCharType="end"/>
            </w:r>
          </w:p>
          <w:p w14:paraId="6E3B2631" w14:textId="77777777" w:rsidR="00547F80" w:rsidRPr="00887441" w:rsidRDefault="00547F80" w:rsidP="00547F80">
            <w:pPr>
              <w:spacing w:line="276" w:lineRule="auto"/>
              <w:rPr>
                <w:i/>
              </w:rPr>
            </w:pPr>
          </w:p>
          <w:p w14:paraId="4D211344" w14:textId="77777777" w:rsidR="00547F80" w:rsidRPr="00887441" w:rsidRDefault="00547F80" w:rsidP="00547F80">
            <w:pPr>
              <w:spacing w:line="276" w:lineRule="auto"/>
              <w:rPr>
                <w:i/>
              </w:rPr>
            </w:pPr>
          </w:p>
        </w:tc>
      </w:tr>
      <w:tr w:rsidR="00547F80" w:rsidRPr="00D64DE7" w14:paraId="00F76353" w14:textId="77777777" w:rsidTr="0045336E">
        <w:trPr>
          <w:trHeight w:val="399"/>
        </w:trPr>
        <w:tc>
          <w:tcPr>
            <w:tcW w:w="2405" w:type="dxa"/>
            <w:shd w:val="clear" w:color="auto" w:fill="E7E6E6" w:themeFill="background2"/>
          </w:tcPr>
          <w:p w14:paraId="2903DA15" w14:textId="2DAA07BF" w:rsidR="00547F80" w:rsidRDefault="00547F80" w:rsidP="00547F80">
            <w:pPr>
              <w:rPr>
                <w:bCs/>
                <w:i/>
                <w:color w:val="808080" w:themeColor="background1" w:themeShade="80"/>
              </w:rPr>
            </w:pPr>
            <w:r>
              <w:rPr>
                <w:bCs/>
                <w:i/>
                <w:color w:val="808080" w:themeColor="background1" w:themeShade="80"/>
              </w:rPr>
              <w:t xml:space="preserve">Late neonatal period </w:t>
            </w:r>
          </w:p>
        </w:tc>
        <w:tc>
          <w:tcPr>
            <w:tcW w:w="6611" w:type="dxa"/>
            <w:shd w:val="clear" w:color="auto" w:fill="F2F2F2" w:themeFill="background1" w:themeFillShade="F2"/>
          </w:tcPr>
          <w:p w14:paraId="6EF804C0" w14:textId="6E351897" w:rsidR="00547F80" w:rsidRPr="00887441" w:rsidRDefault="00547F80" w:rsidP="00547F80">
            <w:pPr>
              <w:spacing w:line="276" w:lineRule="auto"/>
              <w:rPr>
                <w:i/>
              </w:rPr>
            </w:pPr>
            <w:r w:rsidRPr="00887441">
              <w:rPr>
                <w:i/>
              </w:rPr>
              <w:t xml:space="preserve">Days 7-28 of a child’s life </w:t>
            </w:r>
            <w:r w:rsidRPr="00887441">
              <w:rPr>
                <w:i/>
              </w:rPr>
              <w:fldChar w:fldCharType="begin" w:fldLock="1"/>
            </w:r>
            <w:r w:rsidRPr="00887441">
              <w:rPr>
                <w:i/>
              </w:rPr>
              <w:instrText>ADDIN CSL_CITATION {"citationItems":[{"id":"ITEM-1","itemData":{"DOI":"10.2471/BLT.14.139790","author":[{"dropping-particle":"","family":"Oza","given":"Shefali","non-dropping-particle":"","parse-names":false,"suffix":""},{"dropping-particle":"","family":"Lawn","given":"Joy E","non-dropping-particle":"","parse-names":false,"suffix":""},{"dropping-particle":"","family":"Hogan","given":"Daniel R","non-dropping-particle":"","parse-names":false,"suffix":""},{"dropping-particle":"","family":"Mathers","given":"Colin","non-dropping-particle":"","parse-names":false,"suffix":""},{"dropping-particle":"","family":"Cousens","given":"Simon N","non-dropping-particle":"","parse-names":false,"suffix":""}],"container-title":"Bull World Health Organ","id":"ITEM-1","issued":{"date-parts":[["2015"]]},"page":"19-28","title":"Neonatal cause-of-death estimates for the early and late neonatal periods for 194 countries: 2000-2013","type":"article-journal","volume":"93"},"uris":["http://www.mendeley.com/documents/?uuid=e24abcbd-b2b2-35a3-acd5-111c18e2f4d4"]}],"mendeley":{"formattedCitation":"(Oza &lt;i&gt;et al.&lt;/i&gt;, 2015)","plainTextFormattedCitation":"(Oza et al., 2015)","previouslyFormattedCitation":"(Oza &lt;i&gt;et al.&lt;/i&gt;, 2015)"},"properties":{"noteIndex":0},"schema":"https://github.com/citation-style-language/schema/raw/master/csl-citation.json"}</w:instrText>
            </w:r>
            <w:r w:rsidRPr="00887441">
              <w:rPr>
                <w:i/>
              </w:rPr>
              <w:fldChar w:fldCharType="separate"/>
            </w:r>
            <w:r w:rsidRPr="00887441">
              <w:rPr>
                <w:i/>
                <w:noProof/>
              </w:rPr>
              <w:t>(Oza et al., 2015)</w:t>
            </w:r>
            <w:r w:rsidRPr="00887441">
              <w:rPr>
                <w:i/>
              </w:rPr>
              <w:fldChar w:fldCharType="end"/>
            </w:r>
          </w:p>
          <w:p w14:paraId="05FD3D30" w14:textId="77777777" w:rsidR="00547F80" w:rsidRPr="00887441" w:rsidRDefault="00547F80" w:rsidP="00547F80">
            <w:pPr>
              <w:spacing w:line="276" w:lineRule="auto"/>
              <w:rPr>
                <w:i/>
              </w:rPr>
            </w:pPr>
          </w:p>
          <w:p w14:paraId="13D22C3A" w14:textId="77777777" w:rsidR="00547F80" w:rsidRPr="00887441" w:rsidRDefault="00547F80" w:rsidP="00547F80">
            <w:pPr>
              <w:spacing w:line="276" w:lineRule="auto"/>
              <w:rPr>
                <w:i/>
              </w:rPr>
            </w:pPr>
          </w:p>
        </w:tc>
      </w:tr>
      <w:tr w:rsidR="00F80E93" w:rsidRPr="00D64DE7" w14:paraId="3E553224" w14:textId="77777777" w:rsidTr="0045336E">
        <w:trPr>
          <w:trHeight w:val="399"/>
        </w:trPr>
        <w:tc>
          <w:tcPr>
            <w:tcW w:w="2405" w:type="dxa"/>
            <w:shd w:val="clear" w:color="auto" w:fill="E7E6E6" w:themeFill="background2"/>
          </w:tcPr>
          <w:p w14:paraId="4729E9E2" w14:textId="77777777" w:rsidR="00F80E93" w:rsidRDefault="00F80E93" w:rsidP="00547F80">
            <w:pPr>
              <w:rPr>
                <w:bCs/>
                <w:i/>
                <w:color w:val="808080" w:themeColor="background1" w:themeShade="80"/>
              </w:rPr>
            </w:pPr>
            <w:r>
              <w:rPr>
                <w:bCs/>
                <w:i/>
                <w:color w:val="808080" w:themeColor="background1" w:themeShade="80"/>
              </w:rPr>
              <w:t>Maternal Sepsis</w:t>
            </w:r>
          </w:p>
          <w:p w14:paraId="0AD77A93" w14:textId="155A6037" w:rsidR="00F80E93" w:rsidRDefault="00F80E93" w:rsidP="00547F80">
            <w:pPr>
              <w:rPr>
                <w:bCs/>
                <w:i/>
                <w:color w:val="808080" w:themeColor="background1" w:themeShade="80"/>
              </w:rPr>
            </w:pPr>
          </w:p>
        </w:tc>
        <w:tc>
          <w:tcPr>
            <w:tcW w:w="6611" w:type="dxa"/>
            <w:shd w:val="clear" w:color="auto" w:fill="F2F2F2" w:themeFill="background1" w:themeFillShade="F2"/>
          </w:tcPr>
          <w:p w14:paraId="46B96E08" w14:textId="77777777" w:rsidR="00887441" w:rsidRPr="00887441" w:rsidRDefault="00887441" w:rsidP="00887441">
            <w:pPr>
              <w:spacing w:line="276" w:lineRule="auto"/>
              <w:rPr>
                <w:i/>
              </w:rPr>
            </w:pPr>
            <w:r w:rsidRPr="00887441">
              <w:rPr>
                <w:i/>
              </w:rPr>
              <w:t xml:space="preserve">A life-threatening condition defined as organ dysfunction resulting from infection during pregnancy, childbirth, post-abortion, or postpartum period (The World Health Organisation 2017).  </w:t>
            </w:r>
          </w:p>
          <w:p w14:paraId="0786180C" w14:textId="77777777" w:rsidR="00F80E93" w:rsidRPr="00887441" w:rsidRDefault="00F80E93" w:rsidP="00547F80">
            <w:pPr>
              <w:spacing w:line="276" w:lineRule="auto"/>
              <w:rPr>
                <w:i/>
              </w:rPr>
            </w:pPr>
          </w:p>
        </w:tc>
      </w:tr>
      <w:tr w:rsidR="00F80E93" w:rsidRPr="00D64DE7" w14:paraId="39A3FDD2" w14:textId="77777777" w:rsidTr="0045336E">
        <w:trPr>
          <w:trHeight w:val="399"/>
        </w:trPr>
        <w:tc>
          <w:tcPr>
            <w:tcW w:w="2405" w:type="dxa"/>
            <w:shd w:val="clear" w:color="auto" w:fill="E7E6E6" w:themeFill="background2"/>
          </w:tcPr>
          <w:p w14:paraId="2BF3388D" w14:textId="77777777" w:rsidR="00F80E93" w:rsidRDefault="00F80E93" w:rsidP="00547F80">
            <w:pPr>
              <w:rPr>
                <w:bCs/>
                <w:i/>
                <w:color w:val="808080" w:themeColor="background1" w:themeShade="80"/>
              </w:rPr>
            </w:pPr>
            <w:r>
              <w:rPr>
                <w:bCs/>
                <w:i/>
                <w:color w:val="808080" w:themeColor="background1" w:themeShade="80"/>
              </w:rPr>
              <w:t>Endometritis</w:t>
            </w:r>
          </w:p>
          <w:p w14:paraId="383EDCFD" w14:textId="7C1AD1E5" w:rsidR="00F80E93" w:rsidRDefault="00F80E93" w:rsidP="00547F80">
            <w:pPr>
              <w:rPr>
                <w:bCs/>
                <w:i/>
                <w:color w:val="808080" w:themeColor="background1" w:themeShade="80"/>
              </w:rPr>
            </w:pPr>
          </w:p>
        </w:tc>
        <w:tc>
          <w:tcPr>
            <w:tcW w:w="6611" w:type="dxa"/>
            <w:shd w:val="clear" w:color="auto" w:fill="F2F2F2" w:themeFill="background1" w:themeFillShade="F2"/>
          </w:tcPr>
          <w:p w14:paraId="650F7C14" w14:textId="21A95F61" w:rsidR="00F80E93" w:rsidRPr="00887441" w:rsidRDefault="00887441" w:rsidP="00547F80">
            <w:pPr>
              <w:spacing w:line="276" w:lineRule="auto"/>
              <w:rPr>
                <w:i/>
              </w:rPr>
            </w:pPr>
            <w:r w:rsidRPr="00887441">
              <w:rPr>
                <w:i/>
              </w:rPr>
              <w:t xml:space="preserve">Infection of the upper genital tract including endometrium, myometrium, and surrounding tissue </w:t>
            </w:r>
            <w:r w:rsidRPr="00887441">
              <w:rPr>
                <w:i/>
              </w:rPr>
              <w:fldChar w:fldCharType="begin" w:fldLock="1"/>
            </w:r>
            <w:r w:rsidR="003A338E">
              <w:rPr>
                <w:i/>
              </w:rPr>
              <w:instrText>ADDIN CSL_CITATION {"citationItems":[{"id":"ITEM-1","itemData":{"DOI":"10.1177/1753495X14522784","ISSN":"17534968","abstract":"The epidemiology of infections in the puerperium (post partum period) is not well understood and remains underestimated because surveillance systems are often limited to the acute care setting. The most common source of persistent fever after delivery is genital tract infection for which diagnosis remains mostly clinical and antibiotic treatment empiric. This review will emphasize surgical site infections (SSIs) and endometritis. Septic thrombo-phlebitis, mastitis, urinary tract infections and rare infections will be covered in less detail. Puerperal sepsis will not be reviewed.","author":[{"dropping-particle":"","family":"Dalton","given":"E.","non-dropping-particle":"","parse-names":false,"suffix":""},{"dropping-particle":"","family":"Castillo","given":"E.","non-dropping-particle":"","parse-names":false,"suffix":""}],"container-title":"Obstetric Medicine","id":"ITEM-1","issue":"3","issued":{"date-parts":[["2014","9","27"]]},"page":"98-102","publisher":"Royal Society of Medicine Press Ltd","title":"Post partum infections: A review for the non-OBGYN","type":"article-journal","volume":"7"},"uris":["http://www.mendeley.com/documents/?uuid=f6b77afa-5068-3e13-8416-de33bc4a4b20"]}],"mendeley":{"formattedCitation":"(Dalton and Castillo, 2014)","plainTextFormattedCitation":"(Dalton and Castillo, 2014)","previouslyFormattedCitation":"(Dalton and Castillo, 2014)"},"properties":{"noteIndex":0},"schema":"https://github.com/citation-style-language/schema/raw/master/csl-citation.json"}</w:instrText>
            </w:r>
            <w:r w:rsidRPr="00887441">
              <w:rPr>
                <w:i/>
              </w:rPr>
              <w:fldChar w:fldCharType="separate"/>
            </w:r>
            <w:r w:rsidRPr="00887441">
              <w:rPr>
                <w:i/>
                <w:noProof/>
              </w:rPr>
              <w:t>(Dalton and Castillo, 2014)</w:t>
            </w:r>
            <w:r w:rsidRPr="00887441">
              <w:rPr>
                <w:i/>
              </w:rPr>
              <w:fldChar w:fldCharType="end"/>
            </w:r>
          </w:p>
          <w:p w14:paraId="5EB0A482" w14:textId="3D98C466" w:rsidR="00887441" w:rsidRPr="00887441" w:rsidRDefault="00887441" w:rsidP="00547F80">
            <w:pPr>
              <w:spacing w:line="276" w:lineRule="auto"/>
              <w:rPr>
                <w:i/>
              </w:rPr>
            </w:pPr>
          </w:p>
        </w:tc>
      </w:tr>
      <w:tr w:rsidR="00F80E93" w:rsidRPr="00D64DE7" w14:paraId="3AC20E01" w14:textId="77777777" w:rsidTr="0045336E">
        <w:trPr>
          <w:trHeight w:val="399"/>
        </w:trPr>
        <w:tc>
          <w:tcPr>
            <w:tcW w:w="2405" w:type="dxa"/>
            <w:shd w:val="clear" w:color="auto" w:fill="E7E6E6" w:themeFill="background2"/>
          </w:tcPr>
          <w:p w14:paraId="59CAB793" w14:textId="77777777" w:rsidR="00F80E93" w:rsidRDefault="00F80E93" w:rsidP="00547F80">
            <w:pPr>
              <w:rPr>
                <w:bCs/>
                <w:i/>
                <w:color w:val="808080" w:themeColor="background1" w:themeShade="80"/>
              </w:rPr>
            </w:pPr>
            <w:r>
              <w:rPr>
                <w:bCs/>
                <w:i/>
                <w:color w:val="808080" w:themeColor="background1" w:themeShade="80"/>
              </w:rPr>
              <w:t>Secondary postpartum haemorrhage</w:t>
            </w:r>
          </w:p>
          <w:p w14:paraId="47A63DDA" w14:textId="2CCD4487" w:rsidR="00F80E93" w:rsidRDefault="00F80E93" w:rsidP="00547F80">
            <w:pPr>
              <w:rPr>
                <w:bCs/>
                <w:i/>
                <w:color w:val="808080" w:themeColor="background1" w:themeShade="80"/>
              </w:rPr>
            </w:pPr>
          </w:p>
        </w:tc>
        <w:tc>
          <w:tcPr>
            <w:tcW w:w="6611" w:type="dxa"/>
            <w:shd w:val="clear" w:color="auto" w:fill="F2F2F2" w:themeFill="background1" w:themeFillShade="F2"/>
          </w:tcPr>
          <w:p w14:paraId="6BFF5E1B" w14:textId="48C1E81A" w:rsidR="00887441" w:rsidRPr="00887441" w:rsidRDefault="00887441" w:rsidP="00887441">
            <w:pPr>
              <w:rPr>
                <w:i/>
              </w:rPr>
            </w:pPr>
            <w:r w:rsidRPr="00887441">
              <w:rPr>
                <w:i/>
              </w:rPr>
              <w:t xml:space="preserve">Abnormal bleeding at 24 hrs to 6-12 weeks postnatal </w:t>
            </w:r>
            <w:r w:rsidRPr="00887441">
              <w:rPr>
                <w:i/>
              </w:rPr>
              <w:fldChar w:fldCharType="begin" w:fldLock="1"/>
            </w:r>
            <w:r w:rsidRPr="00887441">
              <w:rPr>
                <w:i/>
              </w:rPr>
              <w:instrText>ADDIN CSL_CITATION {"citationItems":[{"id":"ITEM-1","itemData":{"author":[{"dropping-particle":"","family":"The Association of Obstetricians &amp; Gynaecologists of Malawi","given":"","non-dropping-particle":"","parse-names":false,"suffix":""}],"id":"ITEM-1","issue":"September","issued":{"date-parts":[["2014"]]},"page":"1-105","title":"Obstetrics &amp; Gynaecology Protocols and Guidelines","type":"article-journal"},"uris":["http://www.mendeley.com/documents/?uuid=4c3afc00-c2fe-4018-b8ea-57886e893a57"]}],"mendeley":{"formattedCitation":"(The Association of Obstetricians &amp; Gynaecologists of Malawi, 2014)","plainTextFormattedCitation":"(The Association of Obstetricians &amp; Gynaecologists of Malawi, 2014)","previouslyFormattedCitation":"(The Association of Obstetricians &amp; Gynaecologists of Malawi, 2014)"},"properties":{"noteIndex":0},"schema":"https://github.com/citation-style-language/schema/raw/master/csl-citation.json"}</w:instrText>
            </w:r>
            <w:r w:rsidRPr="00887441">
              <w:rPr>
                <w:i/>
              </w:rPr>
              <w:fldChar w:fldCharType="separate"/>
            </w:r>
            <w:r w:rsidRPr="00887441">
              <w:rPr>
                <w:i/>
                <w:noProof/>
              </w:rPr>
              <w:t>(The Association of Obstetricians &amp; Gynaecologists of Malawi, 2014)</w:t>
            </w:r>
            <w:r w:rsidRPr="00887441">
              <w:rPr>
                <w:i/>
              </w:rPr>
              <w:fldChar w:fldCharType="end"/>
            </w:r>
          </w:p>
          <w:p w14:paraId="4F9FA677" w14:textId="6CC8BCC9" w:rsidR="00F80E93" w:rsidRPr="00887441" w:rsidRDefault="00F80E93" w:rsidP="00887441">
            <w:pPr>
              <w:spacing w:line="276" w:lineRule="auto"/>
              <w:rPr>
                <w:i/>
              </w:rPr>
            </w:pPr>
          </w:p>
        </w:tc>
      </w:tr>
      <w:tr w:rsidR="00F80E93" w:rsidRPr="00D64DE7" w14:paraId="636AE22B" w14:textId="77777777" w:rsidTr="0045336E">
        <w:trPr>
          <w:trHeight w:val="399"/>
        </w:trPr>
        <w:tc>
          <w:tcPr>
            <w:tcW w:w="2405" w:type="dxa"/>
            <w:shd w:val="clear" w:color="auto" w:fill="E7E6E6" w:themeFill="background2"/>
          </w:tcPr>
          <w:p w14:paraId="6E190625" w14:textId="77777777" w:rsidR="00F80E93" w:rsidRDefault="002B0814" w:rsidP="00547F80">
            <w:pPr>
              <w:rPr>
                <w:bCs/>
                <w:i/>
                <w:color w:val="808080" w:themeColor="background1" w:themeShade="80"/>
              </w:rPr>
            </w:pPr>
            <w:r>
              <w:rPr>
                <w:bCs/>
                <w:i/>
                <w:color w:val="808080" w:themeColor="background1" w:themeShade="80"/>
              </w:rPr>
              <w:t>Vesicovaginal fistula</w:t>
            </w:r>
          </w:p>
          <w:p w14:paraId="12DB3CCF" w14:textId="7093B87A" w:rsidR="002B0814" w:rsidRDefault="002B0814" w:rsidP="00547F80">
            <w:pPr>
              <w:rPr>
                <w:bCs/>
                <w:i/>
                <w:color w:val="808080" w:themeColor="background1" w:themeShade="80"/>
              </w:rPr>
            </w:pPr>
          </w:p>
        </w:tc>
        <w:tc>
          <w:tcPr>
            <w:tcW w:w="6611" w:type="dxa"/>
            <w:shd w:val="clear" w:color="auto" w:fill="F2F2F2" w:themeFill="background1" w:themeFillShade="F2"/>
          </w:tcPr>
          <w:p w14:paraId="6A47A457" w14:textId="5B431D32" w:rsidR="00F80E93" w:rsidRDefault="00887441" w:rsidP="00887441">
            <w:r>
              <w:rPr>
                <w:i/>
              </w:rPr>
              <w:t>A</w:t>
            </w:r>
            <w:r w:rsidRPr="00887441">
              <w:rPr>
                <w:i/>
              </w:rPr>
              <w:t>n abnormal opening between the bladder and the vagina that results in continuous and un</w:t>
            </w:r>
            <w:r>
              <w:rPr>
                <w:i/>
              </w:rPr>
              <w:t>remitting urinary incontine</w:t>
            </w:r>
            <w:r w:rsidRPr="00887441">
              <w:t xml:space="preserve">nce. </w:t>
            </w:r>
            <w:r w:rsidRPr="00887441">
              <w:fldChar w:fldCharType="begin" w:fldLock="1"/>
            </w:r>
            <w:r>
              <w:instrText>ADDIN CSL_CITATION {"citationItems":[{"id":"ITEM-1","itemData":{"DOI":"10.1007/s12262-012-0787-y","ISSN":"09739793","abstract":"Vesicovaginal fistula (VVF) is still a major cause for concern in many developing countries. It represents a significant morbidity in female urology. Continual wetness, odor, and discomfort cause serious social problems. The diagnosis of the condition has traditionally been based on clinical methods and dye testing. A successful repair of such fistulas requires an accurate diagnostic evaluation and timely repair using procedures that exploit basic surgical principles and the application of interposition flaps. The method of closure depends on the surgeon's training and experience. The main complication of VVF surgery is recurrent fistula formation. © 2012 Association of Surgeons of India.","author":[{"dropping-particle":"","family":"Stamatakos","given":"Michael","non-dropping-particle":"","parse-names":false,"suffix":""},{"dropping-particle":"","family":"Sargedi","given":"Constantina","non-dropping-particle":"","parse-names":false,"suffix":""},{"dropping-particle":"","family":"Stasinou","given":"Theodora","non-dropping-particle":"","parse-names":false,"suffix":""},{"dropping-particle":"","family":"Kontzoglou","given":"Konstantinos","non-dropping-particle":"","parse-names":false,"suffix":""}],"container-title":"Indian Journal of Surgery","id":"ITEM-1","issue":"2","issued":{"date-parts":[["2014"]]},"page":"131-136","publisher":"Springer India","title":"Vesicovaginal Fistula: Diagnosis and Management","type":"article","volume":"76"},"uris":["http://www.mendeley.com/documents/?uuid=b24786c7-feff-30ef-88f7-55851f92b66b"]}],"mendeley":{"formattedCitation":"(Stamatakos &lt;i&gt;et al.&lt;/i&gt;, 2014)","plainTextFormattedCitation":"(Stamatakos et al., 2014)","previouslyFormattedCitation":"(Stamatakos &lt;i&gt;et al.&lt;/i&gt;, 2014)"},"properties":{"noteIndex":0},"schema":"https://github.com/citation-style-language/schema/raw/master/csl-citation.json"}</w:instrText>
            </w:r>
            <w:r w:rsidRPr="00887441">
              <w:fldChar w:fldCharType="separate"/>
            </w:r>
            <w:r w:rsidRPr="00887441">
              <w:rPr>
                <w:noProof/>
              </w:rPr>
              <w:t>(Stamatakos et al., 2014)</w:t>
            </w:r>
            <w:r w:rsidRPr="00887441">
              <w:fldChar w:fldCharType="end"/>
            </w:r>
          </w:p>
          <w:p w14:paraId="7FB87B9B" w14:textId="3F4C3986" w:rsidR="00887441" w:rsidRPr="00887441" w:rsidRDefault="00887441" w:rsidP="00887441"/>
        </w:tc>
      </w:tr>
      <w:tr w:rsidR="00887441" w:rsidRPr="00D64DE7" w14:paraId="03402266" w14:textId="77777777" w:rsidTr="0045336E">
        <w:trPr>
          <w:trHeight w:val="399"/>
        </w:trPr>
        <w:tc>
          <w:tcPr>
            <w:tcW w:w="2405" w:type="dxa"/>
            <w:shd w:val="clear" w:color="auto" w:fill="E7E6E6" w:themeFill="background2"/>
          </w:tcPr>
          <w:p w14:paraId="7B47123D" w14:textId="77777777" w:rsidR="00887441" w:rsidRDefault="00887441" w:rsidP="00887441">
            <w:pPr>
              <w:rPr>
                <w:bCs/>
                <w:i/>
                <w:color w:val="808080" w:themeColor="background1" w:themeShade="80"/>
              </w:rPr>
            </w:pPr>
            <w:r>
              <w:rPr>
                <w:bCs/>
                <w:i/>
                <w:color w:val="808080" w:themeColor="background1" w:themeShade="80"/>
              </w:rPr>
              <w:lastRenderedPageBreak/>
              <w:t xml:space="preserve">Rectovaginal fistula </w:t>
            </w:r>
          </w:p>
          <w:p w14:paraId="52BFB069" w14:textId="55E9895A" w:rsidR="00887441" w:rsidRDefault="00887441" w:rsidP="00887441">
            <w:pPr>
              <w:rPr>
                <w:bCs/>
                <w:i/>
                <w:color w:val="808080" w:themeColor="background1" w:themeShade="80"/>
              </w:rPr>
            </w:pPr>
          </w:p>
        </w:tc>
        <w:tc>
          <w:tcPr>
            <w:tcW w:w="6611" w:type="dxa"/>
            <w:shd w:val="clear" w:color="auto" w:fill="F2F2F2" w:themeFill="background1" w:themeFillShade="F2"/>
          </w:tcPr>
          <w:p w14:paraId="08526315" w14:textId="77777777" w:rsidR="00887441" w:rsidRDefault="00887441" w:rsidP="00887441">
            <w:pPr>
              <w:spacing w:line="276" w:lineRule="auto"/>
              <w:rPr>
                <w:i/>
              </w:rPr>
            </w:pPr>
            <w:r w:rsidRPr="00887441">
              <w:rPr>
                <w:i/>
              </w:rPr>
              <w:t xml:space="preserve">An abnormal epithelial-lined connections between the rectum and vagina </w:t>
            </w:r>
            <w:r w:rsidRPr="00887441">
              <w:rPr>
                <w:i/>
              </w:rPr>
              <w:fldChar w:fldCharType="begin" w:fldLock="1"/>
            </w:r>
            <w:r>
              <w:rPr>
                <w:i/>
              </w:rPr>
              <w:instrText>ADDIN CSL_CITATION {"citationItems":[{"id":"ITEM-1","itemData":{"DOI":"10.1055/s-0030-1254296","ISSN":"15310043","abstract":"Rectovaginal fistulas are abnormal epithelial-lined connections between the rectum and vagina. They can be quite bothersome to both the patient and the surgeon due to their irritating and embarrassing symptoms and high failure rate after repair. An individualized, systematic approach to these fistulas based on their size, location, and etiology provides a more concise treatment plan. Treatment options of medical therapy, advancement flaps, plugs, fistula ligation, and tissue interposition are discussed. Copyright © 2010 by Thieme Medical Publishers, Inc.","author":[{"dropping-particle":"","family":"Debeche-Adams","given":"Teresa H.","non-dropping-particle":"","parse-names":false,"suffix":""},{"dropping-particle":"","family":"Bohl","given":"Jaime L.","non-dropping-particle":"","parse-names":false,"suffix":""}],"container-title":"Clinics in Colon and Rectal Surgery","id":"ITEM-1","issue":"2","issued":{"date-parts":[["2010"]]},"page":"99-103","publisher":"Thieme Medical Publishers","title":"Rectovaginal fistulas","type":"article-journal","volume":"23"},"uris":["http://www.mendeley.com/documents/?uuid=ba13eb77-f978-3f1d-9a24-fe5d940f2971"]}],"mendeley":{"formattedCitation":"(Debeche-Adams and Bohl, 2010)","plainTextFormattedCitation":"(Debeche-Adams and Bohl, 2010)","previouslyFormattedCitation":"(Debeche-Adams and Bohl, 2010)"},"properties":{"noteIndex":0},"schema":"https://github.com/citation-style-language/schema/raw/master/csl-citation.json"}</w:instrText>
            </w:r>
            <w:r w:rsidRPr="00887441">
              <w:rPr>
                <w:i/>
              </w:rPr>
              <w:fldChar w:fldCharType="separate"/>
            </w:r>
            <w:r w:rsidRPr="00887441">
              <w:rPr>
                <w:i/>
                <w:noProof/>
              </w:rPr>
              <w:t>(Debeche-Adams and Bohl, 2010)</w:t>
            </w:r>
            <w:r w:rsidRPr="00887441">
              <w:rPr>
                <w:i/>
              </w:rPr>
              <w:fldChar w:fldCharType="end"/>
            </w:r>
          </w:p>
          <w:p w14:paraId="1EDF9ABE" w14:textId="11731DFE" w:rsidR="00887441" w:rsidRPr="00887441" w:rsidRDefault="00887441" w:rsidP="00887441">
            <w:pPr>
              <w:spacing w:line="276" w:lineRule="auto"/>
              <w:rPr>
                <w:i/>
              </w:rPr>
            </w:pPr>
          </w:p>
        </w:tc>
      </w:tr>
      <w:tr w:rsidR="00887441" w:rsidRPr="00D64DE7" w14:paraId="35FDADAD" w14:textId="77777777" w:rsidTr="0045336E">
        <w:trPr>
          <w:trHeight w:val="399"/>
        </w:trPr>
        <w:tc>
          <w:tcPr>
            <w:tcW w:w="2405" w:type="dxa"/>
            <w:shd w:val="clear" w:color="auto" w:fill="E7E6E6" w:themeFill="background2"/>
          </w:tcPr>
          <w:p w14:paraId="5B6A3A27" w14:textId="77777777" w:rsidR="00887441" w:rsidRDefault="00887441" w:rsidP="00887441">
            <w:pPr>
              <w:rPr>
                <w:bCs/>
                <w:i/>
                <w:color w:val="808080" w:themeColor="background1" w:themeShade="80"/>
              </w:rPr>
            </w:pPr>
            <w:r>
              <w:rPr>
                <w:bCs/>
                <w:i/>
                <w:color w:val="808080" w:themeColor="background1" w:themeShade="80"/>
              </w:rPr>
              <w:t>Early-onset neonatal sepsis</w:t>
            </w:r>
          </w:p>
          <w:p w14:paraId="05F1CFEA" w14:textId="77777777" w:rsidR="00887441" w:rsidRDefault="00887441" w:rsidP="00887441">
            <w:pPr>
              <w:rPr>
                <w:bCs/>
                <w:i/>
                <w:color w:val="808080" w:themeColor="background1" w:themeShade="80"/>
              </w:rPr>
            </w:pPr>
          </w:p>
        </w:tc>
        <w:tc>
          <w:tcPr>
            <w:tcW w:w="6611" w:type="dxa"/>
            <w:shd w:val="clear" w:color="auto" w:fill="F2F2F2" w:themeFill="background1" w:themeFillShade="F2"/>
          </w:tcPr>
          <w:p w14:paraId="56627635" w14:textId="77777777" w:rsidR="00887441" w:rsidRPr="009E7E71" w:rsidRDefault="00887441" w:rsidP="00887441">
            <w:pPr>
              <w:spacing w:after="160" w:line="276" w:lineRule="auto"/>
              <w:rPr>
                <w:i/>
              </w:rPr>
            </w:pPr>
            <w:r w:rsidRPr="009E7E71">
              <w:rPr>
                <w:i/>
              </w:rPr>
              <w:t xml:space="preserve">Sepsis evident within the first 7 days of life </w:t>
            </w:r>
            <w:r w:rsidRPr="009E7E71">
              <w:rPr>
                <w:i/>
              </w:rPr>
              <w:fldChar w:fldCharType="begin" w:fldLock="1"/>
            </w:r>
            <w:r w:rsidRPr="009E7E71">
              <w:rPr>
                <w:i/>
              </w:rPr>
              <w:instrText>ADDIN CSL_CITATION {"citationItems":[{"id":"ITEM-1","itemData":{"DOI":"10.1186/s12879-015-0813-3","abstract":"Background: Although neonatal infections cause a significant proportion of deaths in the first week of life, little is known about the burden of neonatal disease originating from maternal infection or colonization globally. This paper describes the prevalence of vertical transmission-the percentage of newborns with neonatal infection among newborns exposed to maternal infection. Methods: We searched Pubmed, Embase, Scopus, Web of Science, Cochrane Library, and WHO Regional Databases for studies of maternal infection, vertical transmission, and neonatal infection. Studies that measured prevalence of bacterial vertical transmission were included. Random effects meta-analyses were used to pool data to calculate prevalence estimates of vertical transmission.","author":[{"dropping-particle":"","family":"Chan","given":"Grace J","non-dropping-particle":"","parse-names":false,"suffix":""},{"dropping-particle":"","family":"Lee","given":"Anne Cc","non-dropping-particle":"","parse-names":false,"suffix":""},{"dropping-particle":"","family":"Baqui","given":"Abdullah H","non-dropping-particle":"","parse-names":false,"suffix":""},{"dropping-particle":"","family":"Tan","given":"Jingwen","non-dropping-particle":"","parse-names":false,"suffix":""},{"dropping-particle":"","family":"Black","given":"Robert E","non-dropping-particle":"","parse-names":false,"suffix":""}],"id":"ITEM-1","issued":{"date-parts":[["2015"]]},"title":"Prevalence of early-onset neonatal infection among newborns of mothers with bacterial infection or colonization: a systematic review and meta-analysis","type":"article-journal"},"uris":["http://www.mendeley.com/documents/?uuid=f0820f91-3bf0-3af0-8786-5353e5a51f73"]}],"mendeley":{"formattedCitation":"(Chan &lt;i&gt;et al.&lt;/i&gt;, 2015)","plainTextFormattedCitation":"(Chan et al., 2015)","previouslyFormattedCitation":"(Chan &lt;i&gt;et al.&lt;/i&gt;, 2015)"},"properties":{"noteIndex":0},"schema":"https://github.com/citation-style-language/schema/raw/master/csl-citation.json"}</w:instrText>
            </w:r>
            <w:r w:rsidRPr="009E7E71">
              <w:rPr>
                <w:i/>
              </w:rPr>
              <w:fldChar w:fldCharType="separate"/>
            </w:r>
            <w:r w:rsidRPr="009E7E71">
              <w:rPr>
                <w:i/>
                <w:noProof/>
              </w:rPr>
              <w:t>(Chan et al., 2015)</w:t>
            </w:r>
            <w:r w:rsidRPr="009E7E71">
              <w:rPr>
                <w:i/>
              </w:rPr>
              <w:fldChar w:fldCharType="end"/>
            </w:r>
          </w:p>
          <w:p w14:paraId="28C20319" w14:textId="77777777" w:rsidR="00887441" w:rsidRDefault="00887441" w:rsidP="00887441">
            <w:pPr>
              <w:spacing w:line="276" w:lineRule="auto"/>
            </w:pPr>
          </w:p>
        </w:tc>
      </w:tr>
      <w:tr w:rsidR="00887441" w:rsidRPr="00D64DE7" w14:paraId="28DB0B0A" w14:textId="77777777" w:rsidTr="0045336E">
        <w:trPr>
          <w:trHeight w:val="399"/>
        </w:trPr>
        <w:tc>
          <w:tcPr>
            <w:tcW w:w="2405" w:type="dxa"/>
            <w:shd w:val="clear" w:color="auto" w:fill="E7E6E6" w:themeFill="background2"/>
          </w:tcPr>
          <w:p w14:paraId="1545C489" w14:textId="77777777" w:rsidR="00887441" w:rsidRDefault="00887441" w:rsidP="00887441">
            <w:pPr>
              <w:rPr>
                <w:bCs/>
                <w:i/>
                <w:color w:val="808080" w:themeColor="background1" w:themeShade="80"/>
              </w:rPr>
            </w:pPr>
            <w:r>
              <w:rPr>
                <w:bCs/>
                <w:i/>
                <w:color w:val="808080" w:themeColor="background1" w:themeShade="80"/>
              </w:rPr>
              <w:t xml:space="preserve">Late-onset neonatal sepsis </w:t>
            </w:r>
          </w:p>
          <w:p w14:paraId="4224A520" w14:textId="77777777" w:rsidR="00887441" w:rsidRDefault="00887441" w:rsidP="00887441">
            <w:pPr>
              <w:rPr>
                <w:bCs/>
                <w:i/>
                <w:color w:val="808080" w:themeColor="background1" w:themeShade="80"/>
              </w:rPr>
            </w:pPr>
          </w:p>
        </w:tc>
        <w:tc>
          <w:tcPr>
            <w:tcW w:w="6611" w:type="dxa"/>
            <w:shd w:val="clear" w:color="auto" w:fill="F2F2F2" w:themeFill="background1" w:themeFillShade="F2"/>
          </w:tcPr>
          <w:p w14:paraId="1A5DA13A" w14:textId="56513B5F" w:rsidR="00887441" w:rsidRPr="009E7E71" w:rsidRDefault="00887441" w:rsidP="00887441">
            <w:pPr>
              <w:spacing w:after="160" w:line="276" w:lineRule="auto"/>
              <w:rPr>
                <w:i/>
              </w:rPr>
            </w:pPr>
            <w:r w:rsidRPr="009E7E71">
              <w:rPr>
                <w:i/>
              </w:rPr>
              <w:t xml:space="preserve">Sepsis evident </w:t>
            </w:r>
            <w:r>
              <w:rPr>
                <w:i/>
              </w:rPr>
              <w:t>after</w:t>
            </w:r>
            <w:r w:rsidRPr="009E7E71">
              <w:rPr>
                <w:i/>
              </w:rPr>
              <w:t xml:space="preserve"> the first 7 days of life </w:t>
            </w:r>
            <w:r w:rsidRPr="009E7E71">
              <w:rPr>
                <w:i/>
              </w:rPr>
              <w:fldChar w:fldCharType="begin" w:fldLock="1"/>
            </w:r>
            <w:r w:rsidRPr="009E7E71">
              <w:rPr>
                <w:i/>
              </w:rPr>
              <w:instrText>ADDIN CSL_CITATION {"citationItems":[{"id":"ITEM-1","itemData":{"DOI":"10.1186/s12879-015-0813-3","abstract":"Background: Although neonatal infections cause a significant proportion of deaths in the first week of life, little is known about the burden of neonatal disease originating from maternal infection or colonization globally. This paper describes the prevalence of vertical transmission-the percentage of newborns with neonatal infection among newborns exposed to maternal infection. Methods: We searched Pubmed, Embase, Scopus, Web of Science, Cochrane Library, and WHO Regional Databases for studies of maternal infection, vertical transmission, and neonatal infection. Studies that measured prevalence of bacterial vertical transmission were included. Random effects meta-analyses were used to pool data to calculate prevalence estimates of vertical transmission.","author":[{"dropping-particle":"","family":"Chan","given":"Grace J","non-dropping-particle":"","parse-names":false,"suffix":""},{"dropping-particle":"","family":"Lee","given":"Anne Cc","non-dropping-particle":"","parse-names":false,"suffix":""},{"dropping-particle":"","family":"Baqui","given":"Abdullah H","non-dropping-particle":"","parse-names":false,"suffix":""},{"dropping-particle":"","family":"Tan","given":"Jingwen","non-dropping-particle":"","parse-names":false,"suffix":""},{"dropping-particle":"","family":"Black","given":"Robert E","non-dropping-particle":"","parse-names":false,"suffix":""}],"id":"ITEM-1","issued":{"date-parts":[["2015"]]},"title":"Prevalence of early-onset neonatal infection among newborns of mothers with bacterial infection or colonization: a systematic review and meta-analysis","type":"article-journal"},"uris":["http://www.mendeley.com/documents/?uuid=f0820f91-3bf0-3af0-8786-5353e5a51f73"]}],"mendeley":{"formattedCitation":"(Chan &lt;i&gt;et al.&lt;/i&gt;, 2015)","plainTextFormattedCitation":"(Chan et al., 2015)","previouslyFormattedCitation":"(Chan &lt;i&gt;et al.&lt;/i&gt;, 2015)"},"properties":{"noteIndex":0},"schema":"https://github.com/citation-style-language/schema/raw/master/csl-citation.json"}</w:instrText>
            </w:r>
            <w:r w:rsidRPr="009E7E71">
              <w:rPr>
                <w:i/>
              </w:rPr>
              <w:fldChar w:fldCharType="separate"/>
            </w:r>
            <w:r w:rsidRPr="009E7E71">
              <w:rPr>
                <w:i/>
                <w:noProof/>
              </w:rPr>
              <w:t>(Chan et al., 2015)</w:t>
            </w:r>
            <w:r w:rsidRPr="009E7E71">
              <w:rPr>
                <w:i/>
              </w:rPr>
              <w:fldChar w:fldCharType="end"/>
            </w:r>
          </w:p>
          <w:p w14:paraId="12DFA574" w14:textId="77777777" w:rsidR="00887441" w:rsidRDefault="00887441" w:rsidP="00887441">
            <w:pPr>
              <w:spacing w:line="276" w:lineRule="auto"/>
            </w:pPr>
          </w:p>
        </w:tc>
      </w:tr>
    </w:tbl>
    <w:p w14:paraId="4CE9BF24" w14:textId="541FC16A" w:rsidR="00EE4A6D" w:rsidRDefault="00EE4A6D" w:rsidP="00CD26EB">
      <w:pPr>
        <w:spacing w:line="360" w:lineRule="auto"/>
        <w:rPr>
          <w:b/>
          <w:bCs/>
          <w:color w:val="A8D08D" w:themeColor="accent6" w:themeTint="99"/>
        </w:rPr>
      </w:pPr>
    </w:p>
    <w:p w14:paraId="143C852F" w14:textId="7AEF645A" w:rsidR="007265F1" w:rsidRDefault="00F53403" w:rsidP="00CD26EB">
      <w:pPr>
        <w:spacing w:line="360" w:lineRule="auto"/>
        <w:rPr>
          <w:b/>
          <w:bCs/>
          <w:color w:val="A8D08D" w:themeColor="accent6" w:themeTint="99"/>
        </w:rPr>
      </w:pPr>
      <w:r w:rsidRPr="00DC58BA">
        <w:rPr>
          <w:b/>
          <w:bCs/>
          <w:color w:val="A8D08D" w:themeColor="accent6" w:themeTint="99"/>
        </w:rPr>
        <w:t xml:space="preserve">Variables </w:t>
      </w:r>
      <w:r w:rsidR="007265F1">
        <w:rPr>
          <w:b/>
          <w:bCs/>
          <w:color w:val="A8D08D" w:themeColor="accent6" w:themeTint="99"/>
        </w:rPr>
        <w:t>modelled</w:t>
      </w:r>
    </w:p>
    <w:p w14:paraId="2C14E773" w14:textId="070F7A70" w:rsidR="007265F1" w:rsidRDefault="00F80E93" w:rsidP="00CD26EB">
      <w:pPr>
        <w:spacing w:line="360" w:lineRule="auto"/>
      </w:pPr>
      <w:r w:rsidRPr="00F80E93">
        <w:t>Variables stored within this model are concerned with</w:t>
      </w:r>
      <w:r>
        <w:t xml:space="preserve"> information about</w:t>
      </w:r>
      <w:r w:rsidRPr="00F80E93">
        <w:t xml:space="preserve"> </w:t>
      </w:r>
      <w:r>
        <w:t>a</w:t>
      </w:r>
      <w:r w:rsidRPr="00F80E93">
        <w:t xml:space="preserve"> woman’s current postnatal period, complications experienced </w:t>
      </w:r>
      <w:r>
        <w:t xml:space="preserve">by either a mother or her child </w:t>
      </w:r>
      <w:r w:rsidRPr="00F80E93">
        <w:t xml:space="preserve">during this </w:t>
      </w:r>
      <w:r>
        <w:t>period</w:t>
      </w:r>
      <w:r w:rsidRPr="00F80E93">
        <w:t xml:space="preserve"> and </w:t>
      </w:r>
      <w:r>
        <w:t xml:space="preserve">any </w:t>
      </w:r>
      <w:r w:rsidRPr="00F80E93">
        <w:t xml:space="preserve">treatment </w:t>
      </w:r>
      <w:r>
        <w:t>delivered to mother or baby</w:t>
      </w:r>
      <w:r w:rsidRPr="00F80E93">
        <w:t xml:space="preserve">. </w:t>
      </w:r>
    </w:p>
    <w:p w14:paraId="77D8D787" w14:textId="737DB393" w:rsidR="00F80E93" w:rsidRDefault="00F80E93" w:rsidP="00CD26EB">
      <w:pPr>
        <w:spacing w:line="360" w:lineRule="auto"/>
      </w:pPr>
      <w:r>
        <w:t>Variables about the current postnatal period include the identification number of a woman’s most recent child (integer) and the number of weeks into the postnatal period a woman is (integer (1-6)). Complication variables for the mother include if she is experiencing postnatal hypertension (none, resolved, gestational hypertension, severe gestational hypertension, mild pre-eclampsia, severe pre-eclampsia, eclampsia), postnatal infection (endometritis, urinary tract, skin/soft tissue or other) or sepsis (True/False), secondary postpartum haemorrhage (True/False)</w:t>
      </w:r>
      <w:r w:rsidR="00EE4A6D">
        <w:t>, anaemia causing deficiencies (iron/folate/b12) or anaemia (mild, moderate, severe)</w:t>
      </w:r>
      <w:r>
        <w:t xml:space="preserve"> and obstetric fistul</w:t>
      </w:r>
      <w:r w:rsidR="00EE4A6D">
        <w:t>a (vesicovaginal, rectovaginal)</w:t>
      </w:r>
      <w:r>
        <w:t>. Currently, in this period, the only complications for neonates that we have modelled are early-onset neonatal sepsis</w:t>
      </w:r>
      <w:r w:rsidR="00EE4A6D">
        <w:t xml:space="preserve"> (True/False)</w:t>
      </w:r>
      <w:r>
        <w:t xml:space="preserve"> and late-onset neonatal sepsis </w:t>
      </w:r>
      <w:r w:rsidR="00EE4A6D">
        <w:t>(True/False).</w:t>
      </w:r>
    </w:p>
    <w:p w14:paraId="3E856AF2" w14:textId="150FE597" w:rsidR="00EE4A6D" w:rsidRDefault="00EE4A6D" w:rsidP="00CD26EB">
      <w:pPr>
        <w:spacing w:line="360" w:lineRule="auto"/>
      </w:pPr>
      <w:r>
        <w:t xml:space="preserve">Treatment variables for the mother include </w:t>
      </w:r>
      <w:r w:rsidR="00843AD3">
        <w:t xml:space="preserve">the </w:t>
      </w:r>
      <w:r>
        <w:t>number of PNC visits attended during this postnatal period (integer),</w:t>
      </w:r>
      <w:r w:rsidR="00520E35">
        <w:t xml:space="preserve"> if she is receiving oral antihypertensives (True/False) or received intravenous antihypertensives during an emergency (True/False), if she has received case management for secondary postpartum haemorrhage (True/False) if she has received case management for postnat</w:t>
      </w:r>
      <w:r w:rsidR="00843AD3">
        <w:t>al sepsis (True/False) or</w:t>
      </w:r>
      <w:r w:rsidR="00520E35">
        <w:t xml:space="preserve"> if she has received magnesium sulphate as management for severe pre-</w:t>
      </w:r>
      <w:r w:rsidR="00843AD3">
        <w:t>eclampsia/eclampsia (True/False)</w:t>
      </w:r>
    </w:p>
    <w:p w14:paraId="7AFB2241" w14:textId="319C7CA4" w:rsidR="00F80E93" w:rsidRPr="00F80E93" w:rsidRDefault="00843AD3" w:rsidP="00CD26EB">
      <w:pPr>
        <w:spacing w:line="360" w:lineRule="auto"/>
      </w:pPr>
      <w:r>
        <w:t>Treatment variables for the neonate include the number of PNC visits attended during this postnatal period (integer), if they received injectable antibiotics as management of neonatal sepsis (True/False) or if they received full supportive care as management of neonatal sepsis (True/False).</w:t>
      </w:r>
    </w:p>
    <w:p w14:paraId="2D1000AD" w14:textId="77777777" w:rsidR="00A03373" w:rsidRDefault="00A03373" w:rsidP="00843AD3">
      <w:pPr>
        <w:spacing w:line="360" w:lineRule="auto"/>
        <w:rPr>
          <w:b/>
          <w:bCs/>
          <w:color w:val="A8D08D" w:themeColor="accent6" w:themeTint="99"/>
        </w:rPr>
      </w:pPr>
    </w:p>
    <w:p w14:paraId="68DE1A61" w14:textId="77777777" w:rsidR="00A03373" w:rsidRDefault="00A03373" w:rsidP="00843AD3">
      <w:pPr>
        <w:spacing w:line="360" w:lineRule="auto"/>
        <w:rPr>
          <w:b/>
          <w:bCs/>
          <w:color w:val="A8D08D" w:themeColor="accent6" w:themeTint="99"/>
        </w:rPr>
      </w:pPr>
    </w:p>
    <w:p w14:paraId="0466D9E5" w14:textId="59F6B72D" w:rsidR="00843AD3" w:rsidRDefault="007265F1" w:rsidP="00843AD3">
      <w:pPr>
        <w:spacing w:line="360" w:lineRule="auto"/>
        <w:rPr>
          <w:b/>
          <w:bCs/>
          <w:color w:val="A8D08D" w:themeColor="accent6" w:themeTint="99"/>
        </w:rPr>
      </w:pPr>
      <w:r>
        <w:rPr>
          <w:b/>
          <w:bCs/>
          <w:color w:val="A8D08D" w:themeColor="accent6" w:themeTint="99"/>
        </w:rPr>
        <w:lastRenderedPageBreak/>
        <w:t>U</w:t>
      </w:r>
      <w:r w:rsidR="005E7A3B" w:rsidRPr="00DC58BA">
        <w:rPr>
          <w:b/>
          <w:bCs/>
          <w:color w:val="A8D08D" w:themeColor="accent6" w:themeTint="99"/>
        </w:rPr>
        <w:t>pdating variables</w:t>
      </w:r>
    </w:p>
    <w:p w14:paraId="1853D6FE" w14:textId="7079D828" w:rsidR="00533846" w:rsidRDefault="007357A3" w:rsidP="00CD26EB">
      <w:pPr>
        <w:spacing w:line="360" w:lineRule="auto"/>
      </w:pPr>
      <w:r w:rsidRPr="00AB5901">
        <w:t>This model updates the variables described above</w:t>
      </w:r>
      <w:r w:rsidR="00AB5901">
        <w:t xml:space="preserve"> at a number of different points as the simulation moves forward</w:t>
      </w:r>
      <w:r w:rsidR="002E794D">
        <w:t xml:space="preserve"> in time</w:t>
      </w:r>
      <w:r w:rsidR="00AB5901">
        <w:t xml:space="preserve">. </w:t>
      </w:r>
      <w:r w:rsidR="00533846">
        <w:t>When</w:t>
      </w:r>
      <w:r w:rsidR="00AB5901">
        <w:t xml:space="preserve"> the simulation generates a birth we update variables in </w:t>
      </w:r>
      <w:r w:rsidR="002E794D">
        <w:t>the</w:t>
      </w:r>
      <w:r w:rsidR="00AB5901">
        <w:t xml:space="preserve"> model relating to obstetric fistula and persistence or resolution of maternal antenatal hypertension and or anaemia. Following this, incidence of maternal and neonatal complications is applied weekl</w:t>
      </w:r>
      <w:r w:rsidR="002E794D">
        <w:t xml:space="preserve">y, </w:t>
      </w:r>
      <w:r w:rsidR="00AB5901">
        <w:t>starting in week 1 (day 2-7 post birth) until week 6 (day 36-42 post birth)</w:t>
      </w:r>
      <w:r w:rsidR="002E794D">
        <w:t>,</w:t>
      </w:r>
      <w:r w:rsidR="00AB5901">
        <w:t xml:space="preserve"> to </w:t>
      </w:r>
      <w:r w:rsidR="002E794D">
        <w:t>a</w:t>
      </w:r>
      <w:r w:rsidR="00AB5901">
        <w:t xml:space="preserve"> population of women who have just delivered and their newborns. </w:t>
      </w:r>
      <w:r w:rsidR="00533846">
        <w:t>Figure one shows the sequential application of incidence of maternal complications within the model. This format is replicated, unchanged, for weeks 1-6. Not show in this figure, but described below, is the management of progression and resolution of hypertension per week or the risk of maternal death associated with complications.</w:t>
      </w:r>
    </w:p>
    <w:p w14:paraId="3A038DCF" w14:textId="08DB04E3" w:rsidR="00533846" w:rsidRDefault="00533846" w:rsidP="00CD26EB">
      <w:pPr>
        <w:spacing w:line="360" w:lineRule="auto"/>
      </w:pPr>
    </w:p>
    <w:p w14:paraId="051B2D34" w14:textId="4DFC5551" w:rsidR="00BD7F21" w:rsidRPr="00533846" w:rsidRDefault="00533846" w:rsidP="00533846">
      <w:pPr>
        <w:rPr>
          <w:b/>
          <w:color w:val="FF0000"/>
        </w:rPr>
      </w:pPr>
      <w:r>
        <w:rPr>
          <w:b/>
        </w:rPr>
        <w:t>Figure 1</w:t>
      </w:r>
      <w:r w:rsidRPr="002D6EE0">
        <w:rPr>
          <w:b/>
        </w:rPr>
        <w:t xml:space="preserve">.  </w:t>
      </w:r>
      <w:r>
        <w:rPr>
          <w:b/>
        </w:rPr>
        <w:t>Application of incidence of maternal complications</w:t>
      </w:r>
      <w:r>
        <w:rPr>
          <w:noProof/>
          <w:lang w:eastAsia="en-GB"/>
        </w:rPr>
        <w:drawing>
          <wp:anchor distT="0" distB="0" distL="114300" distR="114300" simplePos="0" relativeHeight="251658240" behindDoc="0" locked="0" layoutInCell="1" allowOverlap="1" wp14:anchorId="060E4925" wp14:editId="56EFF21F">
            <wp:simplePos x="0" y="0"/>
            <wp:positionH relativeFrom="margin">
              <wp:posOffset>-555625</wp:posOffset>
            </wp:positionH>
            <wp:positionV relativeFrom="paragraph">
              <wp:posOffset>389603</wp:posOffset>
            </wp:positionV>
            <wp:extent cx="6842377" cy="1449238"/>
            <wp:effectExtent l="0" t="0" r="0" b="0"/>
            <wp:wrapNone/>
            <wp:docPr id="1" name="Picture 1" descr="https://documents.lucid.app/documents/e36b751a-d962-4d2f-823c-b89465bf45d7/pages/0_0?a=1489&amp;x=-82&amp;y=1381&amp;w=2235&amp;h=432&amp;store=1&amp;accept=image%2F*&amp;auth=LCA%20aa8f1be74d7bd7cb333fc266bc1ce9334d1f2f52-ts%3D161218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app/documents/e36b751a-d962-4d2f-823c-b89465bf45d7/pages/0_0?a=1489&amp;x=-82&amp;y=1381&amp;w=2235&amp;h=432&amp;store=1&amp;accept=image%2F*&amp;auth=LCA%20aa8f1be74d7bd7cb333fc266bc1ce9334d1f2f52-ts%3D161218616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132" t="5446" r="4936" b="5806"/>
                    <a:stretch/>
                  </pic:blipFill>
                  <pic:spPr bwMode="auto">
                    <a:xfrm>
                      <a:off x="0" y="0"/>
                      <a:ext cx="6842377" cy="1449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 xml:space="preserve"> in the postnatal period</w:t>
      </w:r>
    </w:p>
    <w:p w14:paraId="1B9B3512" w14:textId="3E0A5A1E" w:rsidR="00533846" w:rsidRDefault="00533846" w:rsidP="00CD26EB">
      <w:pPr>
        <w:spacing w:line="360" w:lineRule="auto"/>
      </w:pPr>
    </w:p>
    <w:p w14:paraId="06963854" w14:textId="7BBF74F3" w:rsidR="00533846" w:rsidRDefault="00533846" w:rsidP="00CD26EB">
      <w:pPr>
        <w:spacing w:line="360" w:lineRule="auto"/>
      </w:pPr>
    </w:p>
    <w:p w14:paraId="0E714B3C" w14:textId="77777777" w:rsidR="00533846" w:rsidRDefault="00533846" w:rsidP="00CD26EB">
      <w:pPr>
        <w:spacing w:line="360" w:lineRule="auto"/>
      </w:pPr>
    </w:p>
    <w:p w14:paraId="381171B1" w14:textId="189C94EF" w:rsidR="00BD7F21" w:rsidRDefault="00BD7F21" w:rsidP="00CD26EB">
      <w:pPr>
        <w:spacing w:line="360" w:lineRule="auto"/>
      </w:pPr>
    </w:p>
    <w:p w14:paraId="4A0A63CC" w14:textId="1E8510FC" w:rsidR="00533846" w:rsidRDefault="00533846" w:rsidP="00CD26EB">
      <w:pPr>
        <w:spacing w:line="360" w:lineRule="auto"/>
      </w:pPr>
    </w:p>
    <w:p w14:paraId="71E95AF3" w14:textId="155EB346" w:rsidR="00533846" w:rsidRDefault="00533846" w:rsidP="00CD26EB">
      <w:pPr>
        <w:spacing w:line="360" w:lineRule="auto"/>
      </w:pPr>
      <w:r>
        <w:t xml:space="preserve">We do not replicate the structure in figure one for neonates as we simply apply risk of developing sepsis each week. Currently we use week 7 as the point at which all variables are reset (to prevent issues with future pregnancies) except those which represent properties that remain with the mother/neonate for life.  This is a broadly similar structure to the application of risk within the antenatal period, except that individual level risk is applied weekly as opposed to monthly. </w:t>
      </w:r>
      <w:r w:rsidRPr="00AB5901">
        <w:t xml:space="preserve">Variables relating </w:t>
      </w:r>
      <w:r>
        <w:t xml:space="preserve">to </w:t>
      </w:r>
      <w:r w:rsidRPr="00AB5901">
        <w:t>treatment are updated within the individual health care seeking interactions in order to modify individual risk of death in the instance of successful treatment.</w:t>
      </w:r>
    </w:p>
    <w:p w14:paraId="1C0F55E7" w14:textId="30B11AD2" w:rsidR="002E794D" w:rsidRPr="002E794D" w:rsidRDefault="00533846" w:rsidP="002E794D">
      <w:pPr>
        <w:spacing w:line="360" w:lineRule="auto"/>
        <w:rPr>
          <w:b/>
          <w:bCs/>
          <w:color w:val="A8D08D" w:themeColor="accent6" w:themeTint="99"/>
        </w:rPr>
      </w:pPr>
      <w:r>
        <w:rPr>
          <w:b/>
          <w:bCs/>
          <w:color w:val="A8D08D" w:themeColor="accent6" w:themeTint="99"/>
        </w:rPr>
        <w:t>Inci</w:t>
      </w:r>
      <w:r w:rsidR="002E794D" w:rsidRPr="002E794D">
        <w:rPr>
          <w:b/>
          <w:bCs/>
          <w:color w:val="A8D08D" w:themeColor="accent6" w:themeTint="99"/>
        </w:rPr>
        <w:t xml:space="preserve">dence of </w:t>
      </w:r>
      <w:r w:rsidR="00BD7F21">
        <w:rPr>
          <w:b/>
          <w:bCs/>
          <w:color w:val="A8D08D" w:themeColor="accent6" w:themeTint="99"/>
        </w:rPr>
        <w:t xml:space="preserve">Maternal </w:t>
      </w:r>
      <w:r w:rsidR="002E794D" w:rsidRPr="002E794D">
        <w:rPr>
          <w:b/>
          <w:bCs/>
          <w:color w:val="A8D08D" w:themeColor="accent6" w:themeTint="99"/>
        </w:rPr>
        <w:t>Complications</w:t>
      </w:r>
      <w:r w:rsidR="002E794D">
        <w:rPr>
          <w:b/>
          <w:bCs/>
          <w:color w:val="A8D08D" w:themeColor="accent6" w:themeTint="99"/>
        </w:rPr>
        <w:t xml:space="preserve"> and </w:t>
      </w:r>
      <w:r w:rsidR="002E794D" w:rsidRPr="002E794D">
        <w:rPr>
          <w:b/>
          <w:bCs/>
          <w:color w:val="A8D08D" w:themeColor="accent6" w:themeTint="99"/>
        </w:rPr>
        <w:t>Death in this model</w:t>
      </w:r>
    </w:p>
    <w:p w14:paraId="7BF5E46F" w14:textId="2A758854" w:rsidR="00761DD3" w:rsidRPr="00761DD3" w:rsidRDefault="00761DD3" w:rsidP="00BD7F21">
      <w:pPr>
        <w:spacing w:line="360" w:lineRule="auto"/>
      </w:pPr>
      <w:r>
        <w:t xml:space="preserve">There are a number of complications, seen in figure 1, which a mother is at risk of developing at multiple time points across the continuum of pregnancy (i.e. hypertension or anaemia). In order to prevent repetition in documentation the following sections will provide detail descriptions of complications that are novel to the postnatal period and only provide information related to how other complications, that have been descried elsewhere, vary contextually within this time period of </w:t>
      </w:r>
      <w:r>
        <w:lastRenderedPageBreak/>
        <w:t xml:space="preserve">pregnancy. Additionally we will signpost to relevant documentation where a more detail natural history model is provided. </w:t>
      </w:r>
      <w:r w:rsidR="00207FC8">
        <w:t xml:space="preserve">Calculation of individual risk of death is described towards the end of this section. </w:t>
      </w:r>
    </w:p>
    <w:p w14:paraId="2BBFB7F7" w14:textId="4FBB33E6" w:rsidR="00BD7F21" w:rsidRDefault="00BD7F21" w:rsidP="00BD7F21">
      <w:pPr>
        <w:spacing w:line="360" w:lineRule="auto"/>
        <w:rPr>
          <w:b/>
          <w:bCs/>
          <w:i/>
          <w:color w:val="A8D08D" w:themeColor="accent6" w:themeTint="99"/>
        </w:rPr>
      </w:pPr>
      <w:r>
        <w:rPr>
          <w:b/>
          <w:bCs/>
          <w:i/>
          <w:color w:val="A8D08D" w:themeColor="accent6" w:themeTint="99"/>
        </w:rPr>
        <w:t>Secondary Postpartum Haemorrhage</w:t>
      </w:r>
      <w:r w:rsidR="00761DD3">
        <w:rPr>
          <w:b/>
          <w:bCs/>
          <w:i/>
          <w:color w:val="A8D08D" w:themeColor="accent6" w:themeTint="99"/>
        </w:rPr>
        <w:t xml:space="preserve"> (PPH)</w:t>
      </w:r>
    </w:p>
    <w:p w14:paraId="0E158F4D" w14:textId="13444A40" w:rsidR="004F3D30" w:rsidRDefault="00761DD3" w:rsidP="00BD7F21">
      <w:pPr>
        <w:spacing w:line="360" w:lineRule="auto"/>
      </w:pPr>
      <w:r w:rsidRPr="00761DD3">
        <w:t xml:space="preserve">Within the labour model, and the labour model methods document, we describe in detail the natural history and associated treatment of primary PPH.  </w:t>
      </w:r>
      <w:r w:rsidR="00AC76C0">
        <w:t xml:space="preserve">Within this model we apply an individual risk of secondary PPH, which constitutes any amount of significant bleeding from the genital tract from 24 hours after birth until 6 weeks postpartum </w:t>
      </w:r>
      <w:r w:rsidR="00AC76C0">
        <w:fldChar w:fldCharType="begin" w:fldLock="1"/>
      </w:r>
      <w:r w:rsidR="000E3033">
        <w:instrText>ADDIN CSL_CITATION {"citationItems":[{"id":"ITEM-1","itemData":{"DOI":"10.1016/j.ejogrb.2011.07.029","ISSN":"18727654","PMID":"21839573","abstract":"Secondary postpartum haemorrhage (SPPH) is an important post-natal issue, whose significance is perceived differently between practices, settings and probably within cultures. It is generally less focussed upon, in contrast to its primary counterpart. Patients prefer that it is treated promptly, even when it is not life-threatening. Intensity of blood loss, and the lesser popularity of conservative management drive clinicians towards the active options. Remarkably, none of the current treatment options is based on any evidence. Suction evacuation of the uterus may be complicated by life-threatening complications and blood transfusion. There are a few guidelines, and probably no protocols. In this review, we highlight salient factors to take into consideration, and propose a locally adaptable flowchart, which may be of use to General Practice doctors, Community Midwives and Obstetricians. Copyright © 2011 Published by Elsevier Ireland Ltd. All rights reserved.","author":[{"dropping-particle":"","family":"Babarinsa","given":"Isaac A.","non-dropping-particle":"","parse-names":false,"suffix":""},{"dropping-particle":"","family":"Hayman","given":"Richard G.","non-dropping-particle":"","parse-names":false,"suffix":""},{"dropping-particle":"","family":"Draycott","given":"Tim J.","non-dropping-particle":"","parse-names":false,"suffix":""}],"container-title":"European Journal of Obstetrics and Gynecology and Reproductive Biology","id":"ITEM-1","issue":"2","issued":{"date-parts":[["2011","12","1"]]},"page":"255-260","publisher":"Elsevier Ireland Ltd","title":"Secondary post-partum haemorrhage: Challenges in evidence-based causes and management","type":"article","volume":"159"},"uris":["http://www.mendeley.com/documents/?uuid=239a00c0-be62-3d31-a033-5de802d42f08"]}],"mendeley":{"formattedCitation":"(Babarinsa, Hayman and Draycott, 2011)","plainTextFormattedCitation":"(Babarinsa, Hayman and Draycott, 2011)","previouslyFormattedCitation":"(Babarinsa, Hayman and Draycott, 2011)"},"properties":{"noteIndex":0},"schema":"https://github.com/citation-style-language/schema/raw/master/csl-citation.json"}</w:instrText>
      </w:r>
      <w:r w:rsidR="00AC76C0">
        <w:fldChar w:fldCharType="separate"/>
      </w:r>
      <w:r w:rsidR="00AC76C0" w:rsidRPr="00AC76C0">
        <w:rPr>
          <w:noProof/>
        </w:rPr>
        <w:t>(Babarinsa, Hayman and Draycott, 2011)</w:t>
      </w:r>
      <w:r w:rsidR="00AC76C0">
        <w:fldChar w:fldCharType="end"/>
      </w:r>
      <w:r w:rsidR="00AC76C0">
        <w:t xml:space="preserve">, every week until the end of the postnatal period. </w:t>
      </w:r>
      <w:r w:rsidR="000E3033">
        <w:t xml:space="preserve">The two </w:t>
      </w:r>
      <w:r w:rsidR="00AC76C0">
        <w:t xml:space="preserve">most common suggested </w:t>
      </w:r>
      <w:r w:rsidR="000E3033">
        <w:t>causes of secondary PPH are</w:t>
      </w:r>
      <w:r w:rsidR="00AC76C0">
        <w:t xml:space="preserve"> ‘infection’</w:t>
      </w:r>
      <w:r w:rsidR="000E3033">
        <w:t xml:space="preserve"> and retained products of conception however</w:t>
      </w:r>
      <w:r w:rsidR="00AC76C0">
        <w:t xml:space="preserve"> </w:t>
      </w:r>
      <w:r w:rsidR="000A2A08">
        <w:t xml:space="preserve">but there are a multitude of other possible factors increasing risk of bleeding including </w:t>
      </w:r>
      <w:r w:rsidR="000E3033">
        <w:t>uterine or placental abnormalities</w:t>
      </w:r>
      <w:r w:rsidR="000A2A08">
        <w:t>, caesarean section</w:t>
      </w:r>
      <w:r w:rsidR="000E3033">
        <w:t xml:space="preserve"> wound dehiscence</w:t>
      </w:r>
      <w:r w:rsidR="000A2A08">
        <w:t xml:space="preserve">, </w:t>
      </w:r>
      <w:r w:rsidR="000E3033">
        <w:t>bleeding disorders and trauma</w:t>
      </w:r>
      <w:r w:rsidR="000A2A08">
        <w:t xml:space="preserve"> </w:t>
      </w:r>
      <w:r w:rsidR="000E3033">
        <w:fldChar w:fldCharType="begin" w:fldLock="1"/>
      </w:r>
      <w:r w:rsidR="0002434F">
        <w:instrText>ADDIN CSL_CITATION {"citationItems":[{"id":"ITEM-1","itemData":{"DOI":"10.1017/S096553951100012X","author":[{"dropping-particle":"","family":"M Aiken","given":"Catherine E","non-dropping-particle":"","parse-names":false,"suffix":""},{"dropping-particle":"","family":"Mehasseb","given":"Mohamed K","non-dropping-particle":"","parse-names":false,"suffix":""},{"dropping-particle":"","family":"Prentice","given":"Andrew","non-dropping-particle":"","parse-names":false,"suffix":""}],"container-title":"Fetal and Maternal Medicine Review","id":"ITEM-1","issued":{"date-parts":[["2012"]]},"page":"1-1","publisher":"Cambridge University Press","title":"SECONDARY POSTPARTUM HAEMORRHAGE","type":"article-journal","volume":"23"},"uris":["http://www.mendeley.com/documents/?uuid=d6d66dea-43c4-3ad8-8fa2-9020d8cd763d"]},{"id":"ITEM-2","itemData":{"DOI":"10.1016/j.ejogrb.2011.07.029","ISSN":"18727654","PMID":"21839573","abstract":"Secondary postpartum haemorrhage (SPPH) is an important post-natal issue, whose significance is perceived differently between practices, settings and probably within cultures. It is generally less focussed upon, in contrast to its primary counterpart. Patients prefer that it is treated promptly, even when it is not life-threatening. Intensity of blood loss, and the lesser popularity of conservative management drive clinicians towards the active options. Remarkably, none of the current treatment options is based on any evidence. Suction evacuation of the uterus may be complicated by life-threatening complications and blood transfusion. There are a few guidelines, and probably no protocols. In this review, we highlight salient factors to take into consideration, and propose a locally adaptable flowchart, which may be of use to General Practice doctors, Community Midwives and Obstetricians. Copyright © 2011 Published by Elsevier Ireland Ltd. All rights reserved.","author":[{"dropping-particle":"","family":"Babarinsa","given":"Isaac A.","non-dropping-particle":"","parse-names":false,"suffix":""},{"dropping-particle":"","family":"Hayman","given":"Richard G.","non-dropping-particle":"","parse-names":false,"suffix":""},{"dropping-particle":"","family":"Draycott","given":"Tim J.","non-dropping-particle":"","parse-names":false,"suffix":""}],"container-title":"European Journal of Obstetrics and Gynecology and Reproductive Biology","id":"ITEM-2","issue":"2","issued":{"date-parts":[["2011","12","1"]]},"page":"255-260","publisher":"Elsevier Ireland Ltd","title":"Secondary post-partum haemorrhage: Challenges in evidence-based causes and management","type":"article","volume":"159"},"uris":["http://www.mendeley.com/documents/?uuid=239a00c0-be62-3d31-a033-5de802d42f08"]}],"mendeley":{"formattedCitation":"(Babarinsa, Hayman and Draycott, 2011; M Aiken, Mehasseb and Prentice, 2012)","manualFormatting":"(Babarinsa, Hayman and Draycott, 2011; Aiken et al., 2012)","plainTextFormattedCitation":"(Babarinsa, Hayman and Draycott, 2011; M Aiken, Mehasseb and Prentice, 2012)","previouslyFormattedCitation":"(Babarinsa, Hayman and Draycott, 2011; M Aiken, Mehasseb and Prentice, 2012)"},"properties":{"noteIndex":0},"schema":"https://github.com/citation-style-language/schema/raw/master/csl-citation.json"}</w:instrText>
      </w:r>
      <w:r w:rsidR="000E3033">
        <w:fldChar w:fldCharType="separate"/>
      </w:r>
      <w:r w:rsidR="000E3033" w:rsidRPr="000E3033">
        <w:rPr>
          <w:noProof/>
        </w:rPr>
        <w:t xml:space="preserve">(Babarinsa, Hayman and Draycott, 2011; </w:t>
      </w:r>
      <w:r w:rsidR="000E3033">
        <w:rPr>
          <w:noProof/>
        </w:rPr>
        <w:t xml:space="preserve">Aiken </w:t>
      </w:r>
      <w:r w:rsidR="000E3033" w:rsidRPr="000E3033">
        <w:rPr>
          <w:i/>
          <w:noProof/>
        </w:rPr>
        <w:t>et al.</w:t>
      </w:r>
      <w:r w:rsidR="000E3033" w:rsidRPr="000E3033">
        <w:rPr>
          <w:noProof/>
        </w:rPr>
        <w:t>, 2012)</w:t>
      </w:r>
      <w:r w:rsidR="000E3033">
        <w:fldChar w:fldCharType="end"/>
      </w:r>
      <w:r w:rsidR="000E3033">
        <w:t>.</w:t>
      </w:r>
      <w:r w:rsidR="004F3D30" w:rsidRPr="004F3D30">
        <w:t xml:space="preserve"> </w:t>
      </w:r>
    </w:p>
    <w:p w14:paraId="6C273F82" w14:textId="2911D474" w:rsidR="004F3D30" w:rsidRPr="00533846" w:rsidRDefault="004F3D30" w:rsidP="004F3D30">
      <w:pPr>
        <w:rPr>
          <w:b/>
          <w:color w:val="FF0000"/>
        </w:rPr>
      </w:pPr>
      <w:r>
        <w:rPr>
          <w:b/>
        </w:rPr>
        <w:t>Figure 2</w:t>
      </w:r>
      <w:r w:rsidRPr="002D6EE0">
        <w:rPr>
          <w:b/>
        </w:rPr>
        <w:t xml:space="preserve">.  </w:t>
      </w:r>
      <w:r>
        <w:rPr>
          <w:b/>
        </w:rPr>
        <w:t>Natural history model of secondary PPH</w:t>
      </w:r>
    </w:p>
    <w:p w14:paraId="28B49BAB" w14:textId="2C104108" w:rsidR="004F3D30" w:rsidRDefault="004F3D30" w:rsidP="00BD7F21">
      <w:pPr>
        <w:spacing w:line="360" w:lineRule="auto"/>
      </w:pPr>
      <w:r>
        <w:rPr>
          <w:noProof/>
          <w:lang w:eastAsia="en-GB"/>
        </w:rPr>
        <w:drawing>
          <wp:anchor distT="0" distB="0" distL="114300" distR="114300" simplePos="0" relativeHeight="251659264" behindDoc="0" locked="0" layoutInCell="1" allowOverlap="1" wp14:anchorId="5E14B33C" wp14:editId="591377C0">
            <wp:simplePos x="0" y="0"/>
            <wp:positionH relativeFrom="margin">
              <wp:posOffset>327708</wp:posOffset>
            </wp:positionH>
            <wp:positionV relativeFrom="paragraph">
              <wp:posOffset>58420</wp:posOffset>
            </wp:positionV>
            <wp:extent cx="4183811" cy="3306801"/>
            <wp:effectExtent l="0" t="0" r="7620" b="8255"/>
            <wp:wrapNone/>
            <wp:docPr id="3" name="Picture 3" descr="https://documents.lucid.app/documents/5a5ec8ef-99ce-4dc2-bcc7-08f30f225f64/pages/0_0?a=10324&amp;x=-2315&amp;y=-585&amp;w=696&amp;h=550&amp;store=1&amp;accept=image%2F*&amp;auth=LCA%20153b934433f5a88e4d1dee578a8ea1bbad12f774-ts%3D161219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lucid.app/documents/5a5ec8ef-99ce-4dc2-bcc7-08f30f225f64/pages/0_0?a=10324&amp;x=-2315&amp;y=-585&amp;w=696&amp;h=550&amp;store=1&amp;accept=image%2F*&amp;auth=LCA%20153b934433f5a88e4d1dee578a8ea1bbad12f774-ts%3D1612190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3811" cy="33068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2C7AB2" w14:textId="3493652F" w:rsidR="004F3D30" w:rsidRDefault="004F3D30" w:rsidP="00BD7F21">
      <w:pPr>
        <w:spacing w:line="360" w:lineRule="auto"/>
      </w:pPr>
    </w:p>
    <w:p w14:paraId="159D9910" w14:textId="5A05BE3F" w:rsidR="004F3D30" w:rsidRDefault="004F3D30" w:rsidP="00BD7F21">
      <w:pPr>
        <w:spacing w:line="360" w:lineRule="auto"/>
      </w:pPr>
    </w:p>
    <w:p w14:paraId="29606303" w14:textId="71C321AF" w:rsidR="004F3D30" w:rsidRDefault="004F3D30" w:rsidP="00BD7F21">
      <w:pPr>
        <w:spacing w:line="360" w:lineRule="auto"/>
      </w:pPr>
    </w:p>
    <w:p w14:paraId="65F02E3C" w14:textId="4A2A90C8" w:rsidR="004F3D30" w:rsidRDefault="004F3D30" w:rsidP="00BD7F21">
      <w:pPr>
        <w:spacing w:line="360" w:lineRule="auto"/>
      </w:pPr>
    </w:p>
    <w:p w14:paraId="5E013274" w14:textId="6EF97842" w:rsidR="004F3D30" w:rsidRDefault="004F3D30" w:rsidP="00BD7F21">
      <w:pPr>
        <w:spacing w:line="360" w:lineRule="auto"/>
      </w:pPr>
    </w:p>
    <w:p w14:paraId="7387804C" w14:textId="3051DB6C" w:rsidR="004F3D30" w:rsidRDefault="004F3D30" w:rsidP="00BD7F21">
      <w:pPr>
        <w:spacing w:line="360" w:lineRule="auto"/>
      </w:pPr>
    </w:p>
    <w:p w14:paraId="4F5B82CB" w14:textId="04B5874F" w:rsidR="004F3D30" w:rsidRDefault="004F3D30" w:rsidP="00BD7F21">
      <w:pPr>
        <w:spacing w:line="360" w:lineRule="auto"/>
      </w:pPr>
    </w:p>
    <w:p w14:paraId="431481D8" w14:textId="04C61264" w:rsidR="004F3D30" w:rsidRDefault="004F3D30" w:rsidP="00BD7F21">
      <w:pPr>
        <w:spacing w:line="360" w:lineRule="auto"/>
      </w:pPr>
    </w:p>
    <w:p w14:paraId="438461BC" w14:textId="069B900C" w:rsidR="004F3D30" w:rsidRDefault="004F3D30" w:rsidP="00BD7F21">
      <w:pPr>
        <w:spacing w:line="360" w:lineRule="auto"/>
      </w:pPr>
    </w:p>
    <w:p w14:paraId="3C19FA9A" w14:textId="6D18C8E3" w:rsidR="000E3033" w:rsidRPr="00761DD3" w:rsidRDefault="004F3D30" w:rsidP="00BD7F21">
      <w:pPr>
        <w:spacing w:line="360" w:lineRule="auto"/>
      </w:pPr>
      <w:r>
        <w:t>Due to the considerable variation in possible causes, many of which are not explicitly modelled within TLO, we assume all women experience a baseline risk of secondary PPH which will be modified by identified risk factors that are captured within the framework. The search process for these factors has not yet been completed.</w:t>
      </w:r>
    </w:p>
    <w:p w14:paraId="68D4FA48" w14:textId="77777777" w:rsidR="00C65A24" w:rsidRDefault="00C65A24" w:rsidP="00761DD3">
      <w:pPr>
        <w:spacing w:line="360" w:lineRule="auto"/>
        <w:rPr>
          <w:b/>
          <w:bCs/>
          <w:i/>
          <w:color w:val="A8D08D" w:themeColor="accent6" w:themeTint="99"/>
        </w:rPr>
      </w:pPr>
    </w:p>
    <w:p w14:paraId="537A749E" w14:textId="2EEA2D34" w:rsidR="00761DD3" w:rsidRDefault="00761DD3" w:rsidP="00761DD3">
      <w:pPr>
        <w:spacing w:line="360" w:lineRule="auto"/>
        <w:rPr>
          <w:b/>
          <w:bCs/>
          <w:i/>
          <w:color w:val="A8D08D" w:themeColor="accent6" w:themeTint="99"/>
        </w:rPr>
      </w:pPr>
      <w:r>
        <w:rPr>
          <w:b/>
          <w:bCs/>
          <w:i/>
          <w:color w:val="A8D08D" w:themeColor="accent6" w:themeTint="99"/>
        </w:rPr>
        <w:lastRenderedPageBreak/>
        <w:t>Postnatal</w:t>
      </w:r>
      <w:r w:rsidR="00E91B97">
        <w:rPr>
          <w:b/>
          <w:bCs/>
          <w:i/>
          <w:color w:val="A8D08D" w:themeColor="accent6" w:themeTint="99"/>
        </w:rPr>
        <w:t xml:space="preserve"> infection and</w:t>
      </w:r>
      <w:r>
        <w:rPr>
          <w:b/>
          <w:bCs/>
          <w:i/>
          <w:color w:val="A8D08D" w:themeColor="accent6" w:themeTint="99"/>
        </w:rPr>
        <w:t xml:space="preserve"> sepsis</w:t>
      </w:r>
    </w:p>
    <w:p w14:paraId="038AD08B" w14:textId="224DF1C1" w:rsidR="008E0616" w:rsidRPr="00A03373" w:rsidRDefault="00E91B97" w:rsidP="00761DD3">
      <w:pPr>
        <w:spacing w:line="360" w:lineRule="auto"/>
      </w:pPr>
      <w:r w:rsidRPr="00E91B97">
        <w:t>As with PPH, risk of</w:t>
      </w:r>
      <w:r>
        <w:t xml:space="preserve"> infection and</w:t>
      </w:r>
      <w:r w:rsidRPr="00E91B97">
        <w:t xml:space="preserve"> sepsis following birth is first applied in the labour model. A full description of the natural history model of postnatal infection and sepsis is described within the </w:t>
      </w:r>
      <w:r w:rsidR="00C65A24">
        <w:t xml:space="preserve">labour model </w:t>
      </w:r>
      <w:r w:rsidRPr="00E91B97">
        <w:t xml:space="preserve">methods document. We use the same model during the remainder of the postnatal period, assuming women are at risk of developing endometritis, urinary tract infection, </w:t>
      </w:r>
      <w:r>
        <w:t>skin/soft tissue or ‘other’ infections</w:t>
      </w:r>
      <w:r w:rsidR="0002434F">
        <w:t xml:space="preserve"> </w:t>
      </w:r>
      <w:r w:rsidR="0002434F">
        <w:fldChar w:fldCharType="begin" w:fldLock="1"/>
      </w:r>
      <w:r w:rsidR="00371704">
        <w:instrText>ADDIN CSL_CITATION {"citationItems":[{"id":"ITEM-1","itemData":{"DOI":"10.1016/S2214-109X(20)30109-1","ISSN":"2214109X","abstract":"Background: Maternal infections are an important cause of maternal mortality and severe maternal morbidity. We report the main findings of the WHO Global Maternal Sepsis Study, which aimed to assess the frequency of maternal infections in health facilities, according to maternal characteristics and outcomes, and coverage of core practices for early identification and management. Methods: We did a facility-based, prospective, 1-week inception cohort study in 713 health facilities providing obstetric, midwifery, or abortion care, or where women could be admitted because of complications of pregnancy, childbirth, post-partum, or post-abortion, in 52 low-income and middle-income countries (LMICs) and high-income countries (HICs). We obtained data from hospital records for all pregnant or recently pregnant women hospitalised with suspected or confirmed infection. We calculated ratios of infection and infection-related severe maternal outcomes (ie, death or near-miss) per 1000 livebirths and the proportion of intrahospital fatalities across country income groups, as well as the distribution of demographic, obstetric, clinical characteristics and outcomes, and coverage of a set of core practices for identification and management across infection severity groups. Findings: Between Nov 28, 2017, and Dec 4, 2017, of 2965 women assessed for eligibility, 2850 pregnant or recently pregnant women with suspected or confirmed infection were included. 70·4 (95% CI 67·7–73·1) hospitalised women per 1000 livebirths had a maternal infection, and 10·9 (9·8–12·0) women per 1000 livebirths presented with infection-related (underlying or contributing cause) severe maternal outcomes. Highest ratios were observed in LMICs and the lowest in HICs. The proportion of intrahospital fatalities was 6·8% among women with severe maternal outcomes, with the highest proportion in low-income countries. Infection-related maternal deaths represented more than half of the intrahospital deaths. Around two-thirds (63·9%, n=1821) of the women had a complete set of vital signs recorded, or received antimicrobials the day of suspicion or diagnosis of the infection (70·2%, n=1875), without marked differences across severity groups. Interpretation: The frequency of maternal infections requiring management in health facilities is high. Our results suggest that contribution of direct (obstetric) and indirect (non-obstetric) infections to overall maternal deaths is greater than previously thought. Impro…","author":[{"dropping-particle":"","family":"Bonet","given":"Mercedes","non-dropping-particle":"","parse-names":false,"suffix":""},{"dropping-particle":"","family":"Brizuela","given":"Vanessa","non-dropping-particle":"","parse-names":false,"suffix":""},{"dropping-particle":"","family":"Abalos","given":"Edgardo","non-dropping-particle":"","parse-names":false,"suffix":""},{"dropping-particle":"","family":"Cuesta","given":"Cristina","non-dropping-particle":"","parse-names":false,"suffix":""},{"dropping-particle":"","family":"Baguiya","given":"Adama","non-dropping-particle":"","parse-names":false,"suffix":""},{"dropping-particle":"","family":"Chamillard","given":"Mónica","non-dropping-particle":"","parse-names":false,"suffix":""},{"dropping-particle":"","family":"Fawole","given":"Bukola","non-dropping-particle":"","parse-names":false,"suffix":""},{"dropping-particle":"","family":"Knight","given":"Marian","non-dropping-particle":"","parse-names":false,"suffix":""},{"dropping-particle":"","family":"Kouanda","given":"Seni","non-dropping-particle":"","parse-names":false,"suffix":""},{"dropping-particle":"","family":"Lumbiganon","given":"Pisake","non-dropping-particle":"","parse-names":false,"suffix":""},{"dropping-particle":"","family":"Nabhan","given":"Ashraf","non-dropping-particle":"","parse-names":false,"suffix":""},{"dropping-particle":"","family":"Nadisauskiene","given":"Ruta J.","non-dropping-particle":"","parse-names":false,"suffix":""},{"dropping-particle":"","family":"Abdulkadir","given":"Abdulfetah","non-dropping-particle":"","parse-names":false,"suffix":""},{"dropping-particle":"","family":"Adanu","given":"Richard MK","non-dropping-particle":"","parse-names":false,"suffix":""},{"dropping-particle":"","family":"Aman","given":"Mohammad Iqbal","non-dropping-particle":"","parse-names":false,"suffix":""},{"dropping-particle":"","family":"Arriaga Romero","given":"William E.","non-dropping-particle":"","parse-names":false,"suffix":""},{"dropping-particle":"","family":"Assarag","given":"Bouchra","non-dropping-particle":"","parse-names":false,"suffix":""},{"dropping-particle":"","family":"Bloemenkamp","given":"Kitty W.M.","non-dropping-particle":"","parse-names":false,"suffix":""},{"dropping-particle":"","family":"Boobekova","given":"Aigul","non-dropping-particle":"","parse-names":false,"suffix":""},{"dropping-particle":"","family":"Budianu","given":"Mihaela A.","non-dropping-particle":"","parse-names":false,"suffix":""},{"dropping-particle":"","family":"Cararach","given":"Vicenç","non-dropping-particle":"","parse-names":false,"suffix":""},{"dropping-particle":"","family":"Castro","given":"Rigoberto","non-dropping-particle":"","parse-names":false,"suffix":""},{"dropping-particle":"","family":"Cebekhulu","given":"Sylvia","non-dropping-particle":"","parse-names":false,"suffix":""},{"dropping-particle":"","family":"Cecatti","given":"José Guilherme","non-dropping-particle":"","parse-names":false,"suffix":""},{"dropping-particle":"","family":"Colmorn","given":"Lotte Berdiin","non-dropping-particle":"","parse-names":false,"suffix":""},{"dropping-particle":"","family":"Curteanu","given":"Ala","non-dropping-particle":"","parse-names":false,"suffix":""},{"dropping-particle":"","family":"Donati","given":"Serena","non-dropping-particle":"","parse-names":false,"suffix":""},{"dropping-particle":"","family":"Einda","given":"Hla Mya Thway","non-dropping-particle":"","parse-names":false,"suffix":""},{"dropping-particle":"","family":"Deen","given":"Yasser Salah","non-dropping-particle":"El","parse-names":false,"suffix":""},{"dropping-particle":"","family":"Kak","given":"Faysal","non-dropping-particle":"El","parse-names":false,"suffix":""},{"dropping-particle":"","family":"Elsheikh","given":"Mohamed","non-dropping-particle":"","parse-names":false,"suffix":""},{"dropping-particle":"","family":"Escobar-Vidarte","given":"Maria F.","non-dropping-particle":"","parse-names":false,"suffix":""},{"dropping-particle":"","family":"Espinoza","given":"Marisa Mabel","non-dropping-particle":"","parse-names":false,"suffix":""},{"dropping-particle":"","family":"Estrada","given":"María Ester","non-dropping-particle":"","parse-names":false,"suffix":""},{"dropping-particle":"","family":"Gadama","given":"Luis Aaron","non-dropping-particle":"","parse-names":false,"suffix":""},{"dropping-particle":"","family":"Goufodji","given":"Sourou B.","non-dropping-particle":"","parse-names":false,"suffix":""},{"dropping-particle":"","family":"Hamid","given":"Saima","non-dropping-particle":"","parse-names":false,"suffix":""},{"dropping-particle":"","family":"Hernandez Munoz","given":"Rosalinda","non-dropping-particle":"","parse-names":false,"suffix":""},{"dropping-particle":"","family":"Herrera Maldonado","given":"Nazarea","non-dropping-particle":"","parse-names":false,"suffix":""},{"dropping-particle":"","family":"Jayaratne","given":"Kapila","non-dropping-particle":"","parse-names":false,"suffix":""},{"dropping-particle":"","family":"Kabylova","given":"Saule","non-dropping-particle":"","parse-names":false,"suffix":""},{"dropping-particle":"","family":"Kristufkova","given":"Alexandra","non-dropping-particle":"","parse-names":false,"suffix":""},{"dropping-particle":"","family":"Kumar","given":"Vijay","non-dropping-particle":"","parse-names":false,"suffix":""},{"dropping-particle":"","family":"Lissauer","given":"David","non-dropping-particle":"","parse-names":false,"suffix":""},{"dropping-particle":"","family":"Mereci","given":"Wilson","non-dropping-particle":"","parse-names":false,"suffix":""},{"dropping-particle":"","family":"Minkauskiene","given":"Meile","non-dropping-particle":"","parse-names":false,"suffix":""},{"dropping-particle":"","family":"Moreira","given":"Philippe","non-dropping-particle":"","parse-names":false,"suffix":""},{"dropping-particle":"","family":"Munjanja","given":"Stephen","non-dropping-particle":"","parse-names":false,"suffix":""},{"dropping-particle":"","family":"B. Osman","given":"Nafissa","non-dropping-particle":"","parse-names":false,"suffix":""},{"dropping-particle":"","family":"Ouedraogo","given":"Henri Gautier","non-dropping-particle":"","parse-names":false,"suffix":""},{"dropping-particle":"","family":"Perez","given":"Aquilino M.","non-dropping-particle":"","parse-names":false,"suffix":""},{"dropping-particle":"","family":"Pasquale","given":"Julia","non-dropping-particle":"","parse-names":false,"suffix":""},{"dropping-particle":"","family":"Puscasiu","given":"Lucian","non-dropping-particle":"","parse-names":false,"suffix":""},{"dropping-particle":"","family":"Qureshi","given":"Zahida","non-dropping-particle":"","parse-names":false,"suffix":""},{"dropping-particle":"","family":"Recidoro","given":"Zenaida","non-dropping-particle":"","parse-names":false,"suffix":""},{"dropping-particle":"","family":"C. Ribeiro-do-Valle","given":"Carolina","non-dropping-particle":"","parse-names":false,"suffix":""},{"dropping-particle":"","family":"Rowel","given":"Dhammica","non-dropping-particle":"","parse-names":false,"suffix":""},{"dropping-particle":"","family":"Sangho","given":"Hamadoun","non-dropping-particle":"","parse-names":false,"suffix":""},{"dropping-particle":"","family":"Shrestha","given":"Amir Babu","non-dropping-particle":"","parse-names":false,"suffix":""},{"dropping-particle":"","family":"Siriwachirachai","given":"Thitiporn","non-dropping-particle":"","parse-names":false,"suffix":""},{"dropping-particle":"","family":"Tebeu","given":"Pierre Marie","non-dropping-particle":"","parse-names":false,"suffix":""},{"dropping-particle":"","family":"Tin","given":"Khaing Nwe","non-dropping-particle":"","parse-names":false,"suffix":""},{"dropping-particle":"","family":"Tuan","given":"Dinh Anh","non-dropping-particle":"","parse-names":false,"suffix":""},{"dropping-particle":"","family":"Tung","given":"Rathavy","non-dropping-particle":"","parse-names":false,"suffix":""},{"dropping-particle":"","family":"Vandenberghe","given":"Griet","non-dropping-particle":"","parse-names":false,"suffix":""},{"dropping-particle":"","family":"Yadamsuren","given":"Buyanjargal","non-dropping-particle":"","parse-names":false,"suffix":""},{"dropping-particle":"","family":"Yunusova","given":"Dilrabo","non-dropping-particle":"","parse-names":false,"suffix":""},{"dropping-particle":"","family":"Zavaleta Pimentel","given":"Nelly","non-dropping-particle":"","parse-names":false,"suffix":""},{"dropping-particle":"","family":"Noormal","given":"Bashir","non-dropping-particle":"","parse-names":false,"suffix":""},{"dropping-particle":"","family":"Díaz","given":"Virginia","non-dropping-particle":"","parse-names":false,"suffix":""},{"dropping-particle":"","family":"Leroy","given":"Charlotte","non-dropping-particle":"","parse-names":false,"suffix":""},{"dropping-particle":"","family":"Roelens","given":"Kristien","non-dropping-particle":"","parse-names":false,"suffix":""},{"dropping-particle":"","family":"Agossou","given":"M. Christian Urlyss","non-dropping-particle":"","parse-names":false,"suffix":""},{"dropping-particle":"","family":"Tshabu Aguemon","given":"Christiane","non-dropping-particle":"","parse-names":false,"suffix":""},{"dropping-particle":"","family":"Apaza Peralta","given":"Patricia Soledad","non-dropping-particle":"","parse-names":false,"suffix":""},{"dropping-particle":"","family":"Conde Altamirano","given":"Víctor","non-dropping-particle":"","parse-names":false,"suffix":""},{"dropping-particle":"","family":"Batiene","given":"Vincent","non-dropping-particle":"","parse-names":false,"suffix":""},{"dropping-particle":"","family":"Cisse","given":"Kadari","non-dropping-particle":"","parse-names":false,"suffix":""},{"dropping-particle":"","family":"Cheang","given":"Kannitha","non-dropping-particle":"","parse-names":false,"suffix":""},{"dropping-particle":"","family":"Lam","given":"Phirun","non-dropping-particle":"","parse-names":false,"suffix":""},{"dropping-particle":"","family":"Simo","given":"Elie","non-dropping-particle":"","parse-names":false,"suffix":""},{"dropping-particle":"","family":"Yakana","given":"Emah Irene","non-dropping-particle":"","parse-names":false,"suffix":""},{"dropping-particle":"","family":"Carvajal","given":"Javier","non-dropping-particle":"","parse-names":false,"suffix":""},{"dropping-particle":"","family":"Fernández","given":"Paula","non-dropping-particle":"","parse-names":false,"suffix":""},{"dropping-particle":"","family":"Langhoff-Roos","given":"Jens","non-dropping-particle":"","parse-names":false,"suffix":""},{"dropping-particle":"","family":"Vélez","given":"Paola","non-dropping-particle":"","parse-names":false,"suffix":""},{"dropping-particle":"","family":"Sultan","given":"Alaa","non-dropping-particle":"","parse-names":false,"suffix":""},{"dropping-particle":"","family":"Teklu","given":"Alula M.","non-dropping-particle":"","parse-names":false,"suffix":""},{"dropping-particle":"","family":"Worku","given":"Dawit","non-dropping-particle":"","parse-names":false,"suffix":""},{"dropping-particle":"","family":"Govule","given":"Philip","non-dropping-particle":"","parse-names":false,"suffix":""},{"dropping-particle":"","family":"Noora Lwanga","given":"Charles","non-dropping-particle":"","parse-names":false,"suffix":""},{"dropping-particle":"","family":"Flores Aceituno","given":"María Guadalupe","non-dropping-particle":"","parse-names":false,"suffix":""},{"dropping-particle":"","family":"Bustillo","given":"Carolina","non-dropping-particle":"","parse-names":false,"suffix":""},{"dropping-particle":"","family":"Lara","given":"Bredy","non-dropping-particle":"","parse-names":false,"suffix":""},{"dropping-particle":"","family":"Suri","given":"Vanita","non-dropping-particle":"","parse-names":false,"suffix":""},{"dropping-particle":"","family":"Trikha","given":"Sonia","non-dropping-particle":"","parse-names":false,"suffix":""},{"dropping-particle":"","family":"Cetin","given":"Irene","non-dropping-particle":"","parse-names":false,"suffix":""},{"dropping-particle":"","family":"Personeni","given":"Carlo","non-dropping-particle":"","parse-names":false,"suffix":""},{"dropping-particle":"","family":"Baimussanova","given":"Guldana","non-dropping-particle":"","parse-names":false,"suffix":""},{"dropping-particle":"","family":"Sagyndykova","given":"Balgyn","non-dropping-particle":"","parse-names":false,"suffix":""},{"dropping-particle":"","family":"Gwako","given":"George","non-dropping-particle":"","parse-names":false,"suffix":""},{"dropping-particle":"","family":"Osoti","given":"Alfred","non-dropping-particle":"","parse-names":false,"suffix":""},{"dropping-particle":"","family":"Asylbasheva","given":"Raisa","non-dropping-particle":"","parse-names":false,"suffix":""},{"dropping-particle":"","family":"Seksenbaeva","given":"Damira","non-dropping-particle":"","parse-names":false,"suffix":""},{"dropping-particle":"","family":"Itani","given":"Saad Eddine","non-dropping-particle":"","parse-names":false,"suffix":""},{"dropping-particle":"","family":"Abou Malham","given":"Sabina","non-dropping-particle":"","parse-names":false,"suffix":""},{"dropping-particle":"","family":"Ramašauskaitė","given":"Diana","non-dropping-particle":"","parse-names":false,"suffix":""},{"dropping-particle":"","family":"Chikhwaza","given":"Owen","non-dropping-particle":"","parse-names":false,"suffix":""},{"dropping-particle":"","family":"Malunga","given":"Eddie","non-dropping-particle":"","parse-names":false,"suffix":""},{"dropping-particle":"","family":"Dembele","given":"Haoua","non-dropping-particle":"","parse-names":false,"suffix":""},{"dropping-particle":"","family":"Sangho","given":"Hamadoun","non-dropping-particle":"","parse-names":false,"suffix":""},{"dropping-particle":"","family":"Zerbo","given":"Fanta Eliane","non-dropping-particle":"","parse-names":false,"suffix":""},{"dropping-particle":"","family":"Dávila Serapio","given":"Filiberto","non-dropping-particle":"","parse-names":false,"suffix":""},{"dropping-particle":"","family":"Islas Castañeda","given":"Juan I.","non-dropping-particle":"","parse-names":false,"suffix":""},{"dropping-particle":"","family":"Cauaus","given":"Tatiana","non-dropping-particle":"","parse-names":false,"suffix":""},{"dropping-particle":"","family":"Petrov","given":"Victor","non-dropping-particle":"","parse-names":false,"suffix":""},{"dropping-particle":"","family":"Khishgee","given":"Seded","non-dropping-particle":"","parse-names":false,"suffix":""},{"dropping-particle":"","family":"Lkhagvasuren","given":"Bat-Erdene","non-dropping-particle":"","parse-names":false,"suffix":""},{"dropping-particle":"","family":"Essolbi","given":"Amina","non-dropping-particle":"","parse-names":false,"suffix":""},{"dropping-particle":"","family":"Moulki","given":"Rachid","non-dropping-particle":"","parse-names":false,"suffix":""},{"dropping-particle":"","family":"Jaze","given":"Zara","non-dropping-particle":"","parse-names":false,"suffix":""},{"dropping-particle":"","family":"Mariano","given":"Arlete","non-dropping-particle":"","parse-names":false,"suffix":""},{"dropping-particle":"","family":"Maung","given":"Thae Maung","non-dropping-particle":"","parse-names":false,"suffix":""},{"dropping-particle":"","family":"Gurung","given":"Tara","non-dropping-particle":"","parse-names":false,"suffix":""},{"dropping-particle":"","family":"Shrestha","given":"Sangeeta","non-dropping-particle":"","parse-names":false,"suffix":""},{"dropping-particle":"","family":"Rijken","given":"Marcus J.","non-dropping-particle":"","parse-names":false,"suffix":""},{"dropping-particle":"","family":"Akker","given":"Thomas","non-dropping-particle":"Van Den","parse-names":false,"suffix":""},{"dropping-particle":"","family":"Estrada","given":"María Esther","non-dropping-particle":"","parse-names":false,"suffix":""},{"dropping-particle":"","family":"Pavón Gómez","given":"Néstor J.","non-dropping-particle":"","parse-names":false,"suffix":""},{"dropping-particle":"","family":"Adesina","given":"Olubukola","non-dropping-particle":"","parse-names":false,"suffix":""},{"dropping-particle":"","family":"Aimakhu","given":"Chris","non-dropping-particle":"","parse-names":false,"suffix":""},{"dropping-particle":"","family":"Chaudhri","given":"Rizwana","non-dropping-particle":"","parse-names":false,"suffix":""},{"dropping-particle":"","family":"Khan","given":"M. Adnan","non-dropping-particle":"","parse-names":false,"suffix":""},{"dropping-particle":"","family":"Huatuco Hernández","given":"María del Pilar","non-dropping-particle":"","parse-names":false,"suffix":""},{"dropping-particle":"","family":"Andal","given":"Maria Lu","non-dropping-particle":"","parse-names":false,"suffix":""},{"dropping-particle":"","family":"Martin","given":"Carolina Paula","non-dropping-particle":"","parse-names":false,"suffix":""},{"dropping-particle":"","family":"Diouf","given":"Léopold","non-dropping-particle":"","parse-names":false,"suffix":""},{"dropping-particle":"","family":"Guirassy","given":"Dembo","non-dropping-particle":"","parse-names":false,"suffix":""},{"dropping-particle":"","family":"Borovsky","given":"Miroslav","non-dropping-particle":"","parse-names":false,"suffix":""},{"dropping-particle":"","family":"Kovac","given":"Ladislav","non-dropping-particle":"","parse-names":false,"suffix":""},{"dropping-particle":"","family":"Cornelissen","given":"Laura","non-dropping-particle":"","parse-names":false,"suffix":""},{"dropping-particle":"","family":"Soma-Pillay","given":"Priya","non-dropping-particle":"","parse-names":false,"suffix":""},{"dropping-particle":"","family":"López","given":"Marta","non-dropping-particle":"","parse-names":false,"suffix":""},{"dropping-particle":"","family":"Vidal Benedé","given":"María José","non-dropping-particle":"","parse-names":false,"suffix":""},{"dropping-particle":"","family":"Jayakody","given":"Hemali","non-dropping-particle":"","parse-names":false,"suffix":""},{"dropping-particle":"","family":"Elsheikh","given":"Mohamed","non-dropping-particle":"","parse-names":false,"suffix":""},{"dropping-particle":"","family":"Nabag","given":"Wisal","non-dropping-particle":"","parse-names":false,"suffix":""},{"dropping-particle":"","family":"Omer","given":"Sara","non-dropping-particle":"","parse-names":false,"suffix":""},{"dropping-particle":"","family":"Tsoy","given":"Victoria","non-dropping-particle":"","parse-names":false,"suffix":""},{"dropping-particle":"","family":"Uzakova","given":"Urunbish","non-dropping-particle":"","parse-names":false,"suffix":""},{"dropping-particle":"","family":"Tangsiriwatthana","given":"Thumwadee","non-dropping-particle":"","parse-names":false,"suffix":""},{"dropping-particle":"","family":"Dunlop","given":"Catherine","non-dropping-particle":"","parse-names":false,"suffix":""},{"dropping-particle":"","family":"Roman","given":"Jhon","non-dropping-particle":"","parse-names":false,"suffix":""},{"dropping-particle":"","family":"Vitureira","given":"Gerardo","non-dropping-particle":"","parse-names":false,"suffix":""},{"dropping-particle":"","family":"Truong","given":"Luong Ngoc","non-dropping-particle":"","parse-names":false,"suffix":""},{"dropping-particle":"","family":"Hanh","given":"Nghiem Thi Xuan","non-dropping-particle":"","parse-names":false,"suffix":""},{"dropping-particle":"","family":"Madziyire","given":"Mugove","non-dropping-particle":"","parse-names":false,"suffix":""},{"dropping-particle":"","family":"Magwali","given":"Thulani","non-dropping-particle":"","parse-names":false,"suffix":""},{"dropping-particle":"","family":"Bartlett","given":"Linda","non-dropping-particle":"","parse-names":false,"suffix":""},{"dropping-particle":"","family":"Bellissimo-Rodrigues","given":"Fernando","non-dropping-particle":"","parse-names":false,"suffix":""},{"dropping-particle":"","family":"Jacob","given":"Shevin T.","non-dropping-particle":"","parse-names":false,"suffix":""},{"dropping-particle":"","family":"Shakoor","given":"Sadia","non-dropping-particle":"","parse-names":false,"suffix":""},{"dropping-particle":"","family":"Yunis","given":"Khalid","non-dropping-particle":"","parse-names":false,"suffix":""},{"dropping-particle":"","family":"Campodónico","given":"Liana","non-dropping-particle":"","parse-names":false,"suffix":""},{"dropping-particle":"","family":"Gamerro","given":"Hugo","non-dropping-particle":"","parse-names":false,"suffix":""},{"dropping-particle":"","family":"Giordano","given":"Daniel","non-dropping-particle":"","parse-names":false,"suffix":""},{"dropping-particle":"","family":"Althabe","given":"Fernando","non-dropping-particle":"","parse-names":false,"suffix":""},{"dropping-particle":"","family":"Gülmezoglu","given":"A. Metin","non-dropping-particle":"","parse-names":false,"suffix":""},{"dropping-particle":"","family":"Souza","given":"João Paulo","non-dropping-particle":"","parse-names":false,"suffix":""}],"container-title":"The Lancet Global Health","id":"ITEM-1","issue":"5","issued":{"date-parts":[["2020","5","1"]]},"page":"e661-e671","publisher":"Elsevier Ltd","title":"Frequency and management of maternal infection in health facilities in 52 countries (GLOSS): a 1-week inception cohort study","type":"article-journal","volume":"8"},"uris":["http://www.mendeley.com/documents/?uuid=6a550275-424c-3c07-acbc-7726bd22cdbd"]},{"id":"ITEM-2","itemData":{"DOI":"10.1177/1753495X14522784","ISSN":"17534968","abstract":"The epidemiology of infections in the puerperium (post partum period) is not well understood and remains underestimated because surveillance systems are often limited to the acute care setting. The most common source of persistent fever after delivery is genital tract infection for which diagnosis remains mostly clinical and antibiotic treatment empiric. This review will emphasize surgical site infections (SSIs) and endometritis. Septic thrombo-phlebitis, mastitis, urinary tract infections and rare infections will be covered in less detail. Puerperal sepsis will not be reviewed.","author":[{"dropping-particle":"","family":"Dalton","given":"E.","non-dropping-particle":"","parse-names":false,"suffix":""},{"dropping-particle":"","family":"Castillo","given":"E.","non-dropping-particle":"","parse-names":false,"suffix":""}],"container-title":"Obstetric Medicine","id":"ITEM-2","issue":"3","issued":{"date-parts":[["2014","9","27"]]},"page":"98-102","publisher":"Royal Society of Medicine Press Ltd","title":"Post partum infections: A review for the non-OBGYN","type":"article-journal","volume":"7"},"uris":["http://www.mendeley.com/documents/?uuid=f6b77afa-5068-3e13-8416-de33bc4a4b20"]}],"mendeley":{"formattedCitation":"(Dalton and Castillo, 2014; Bonet &lt;i&gt;et al.&lt;/i&gt;, 2020)","plainTextFormattedCitation":"(Dalton and Castillo, 2014; Bonet et al., 2020)","previouslyFormattedCitation":"(Dalton and Castillo, 2014; Bonet &lt;i&gt;et al.&lt;/i&gt;, 2020)"},"properties":{"noteIndex":0},"schema":"https://github.com/citation-style-language/schema/raw/master/csl-citation.json"}</w:instrText>
      </w:r>
      <w:r w:rsidR="0002434F">
        <w:fldChar w:fldCharType="separate"/>
      </w:r>
      <w:r w:rsidR="0002434F" w:rsidRPr="0002434F">
        <w:rPr>
          <w:noProof/>
        </w:rPr>
        <w:t xml:space="preserve">(Dalton and Castillo, 2014; Bonet </w:t>
      </w:r>
      <w:r w:rsidR="0002434F" w:rsidRPr="0002434F">
        <w:rPr>
          <w:i/>
          <w:noProof/>
        </w:rPr>
        <w:t>et al.</w:t>
      </w:r>
      <w:r w:rsidR="0002434F" w:rsidRPr="0002434F">
        <w:rPr>
          <w:noProof/>
        </w:rPr>
        <w:t>, 2020)</w:t>
      </w:r>
      <w:r w:rsidR="0002434F">
        <w:fldChar w:fldCharType="end"/>
      </w:r>
      <w:r>
        <w:t xml:space="preserve"> during this time which may develop into sepsis requiring treatment. </w:t>
      </w:r>
      <w:r w:rsidR="008E0616">
        <w:t>The search process for risk factors has not yet been completed.</w:t>
      </w:r>
    </w:p>
    <w:p w14:paraId="16D2C6A0" w14:textId="6DBCEADB" w:rsidR="00761DD3" w:rsidRDefault="00761DD3" w:rsidP="00761DD3">
      <w:pPr>
        <w:spacing w:line="360" w:lineRule="auto"/>
        <w:rPr>
          <w:b/>
          <w:bCs/>
          <w:i/>
          <w:color w:val="A8D08D" w:themeColor="accent6" w:themeTint="99"/>
        </w:rPr>
      </w:pPr>
      <w:r>
        <w:rPr>
          <w:b/>
          <w:bCs/>
          <w:i/>
          <w:color w:val="A8D08D" w:themeColor="accent6" w:themeTint="99"/>
        </w:rPr>
        <w:t>Hypertensive disorders</w:t>
      </w:r>
      <w:r w:rsidR="00995633">
        <w:rPr>
          <w:b/>
          <w:bCs/>
          <w:i/>
          <w:color w:val="A8D08D" w:themeColor="accent6" w:themeTint="99"/>
        </w:rPr>
        <w:t xml:space="preserve"> </w:t>
      </w:r>
    </w:p>
    <w:p w14:paraId="33D7BDD2" w14:textId="77777777" w:rsidR="00371704" w:rsidRDefault="00995633" w:rsidP="00761DD3">
      <w:pPr>
        <w:spacing w:line="360" w:lineRule="auto"/>
      </w:pPr>
      <w:r>
        <w:t>Incidence of the hypertensive disorders is first applied in the antenatal model where women are able to develop pre-eclampsia or gestational hypertension and experience progression of these diseases to more severe forms (severe gestational hypertension, severe pre-eclampsia or eclampsia)</w:t>
      </w:r>
      <w:r w:rsidR="00371704">
        <w:t xml:space="preserve"> during the course of their pregnancy and into the intrapartum period</w:t>
      </w:r>
      <w:r>
        <w:t>.</w:t>
      </w:r>
    </w:p>
    <w:p w14:paraId="046B1B31" w14:textId="3D4ECB7D" w:rsidR="00995633" w:rsidRDefault="00371704" w:rsidP="00761DD3">
      <w:pPr>
        <w:spacing w:line="360" w:lineRule="auto"/>
      </w:pPr>
      <w:r>
        <w:t xml:space="preserve">Whilst the majority of cases of hypertensive disorders onset during pregnancy there is a significant burden of de novo </w:t>
      </w:r>
      <w:r w:rsidR="00995633">
        <w:t xml:space="preserve"> </w:t>
      </w:r>
      <w:r>
        <w:t>hypertension which onsets</w:t>
      </w:r>
      <w:r w:rsidR="00CB0321">
        <w:t xml:space="preserve"> for the first time</w:t>
      </w:r>
      <w:r>
        <w:t xml:space="preserve"> during the postnatal period</w:t>
      </w:r>
      <w:r w:rsidR="00B93050">
        <w:t xml:space="preserve"> </w:t>
      </w:r>
      <w:r w:rsidR="00B93050">
        <w:fldChar w:fldCharType="begin" w:fldLock="1"/>
      </w:r>
      <w:r w:rsidR="00B93050">
        <w:instrText>ADDIN CSL_CITATION {"citationItems":[{"id":"ITEM-1","itemData":{"DOI":"10.1016/j.ajog.2011.09.002","ISSN":"00029378","PMID":"21963308","abstract":"Postpartum hypertension can be related to persistence of gestational hypertension, preeclampsia, or preexisting chronic hypertension, or it could develop de novo postpartum secondary to other causes. There are limited data describing the etiology, differential diagnosis, and management of postpartum hypertension-preeclampsia. The differential diagnosis is extensive, and varies from benign (mild gestational or essential hypertension) to life-threatening such as severe preeclampsia-eclampsia, pheochromocytoma, and cerebrovascular accidents. Therefore, medical providers caring for postpartum women should be educated about continued monitoring of signs and symptoms and prompt management of these women in a timely fashion. Evaluation and management should be performed in a stepwise fashion and may require a multidisciplinary approach that considers predelivery risk factors, time of onset, associated signs/symptoms, and results of selective laboratory and imaging findings. The objective of this review is to increase awareness and to provide a stepwise approach toward the diagnosis and management of women with persistent and/or new-onset hypertension-preeclampsia postpartum period. © 2012 Mosby, Inc.","author":[{"dropping-particle":"","family":"Sibai","given":"Baha M.","non-dropping-particle":"","parse-names":false,"suffix":""}],"container-title":"American Journal of Obstetrics and Gynecology","id":"ITEM-1","issue":"6","issued":{"date-parts":[["2012","6"]]},"page":"470-475","publisher":"Am J Obstet Gynecol","title":"Etiology and management of postpartum hypertension-preeclampsia","type":"article-journal","volume":"206"},"uris":["http://www.mendeley.com/documents/?uuid=5ace00e4-ed13-36b1-b3e7-85bcc79c9509"]},{"id":"ITEM-2","itemData":{"DOI":"10.1161/CIRCULATIONAHA.115.015721","ISSN":"15244539","PMID":"26416810","abstract":"Background-The pathophysiology of hypertension in the immediate postpartum period is unclear. Methods and Results-We studied 988 consecutive women admitted to a tertiary medical center for cesarean section of a singleton pregnancy. The angiogenic factors soluble fms-like tyrosine kinase 1 and placental growth factor, both biomarkers associated with preeclampsia, were measured on antepartum blood samples. We then performed multivariable analyses to determine factors associated with the risk of developing postpartum hypertension. Of the 988 women, 184 women (18.6%) developed postpartum hypertension. Of the 184 women, 77 developed de novo hypertension in the postpartum period, and the remainder had a hypertensive disorder of pregnancy in the antepartum period. A higher body mass index and history of diabetes mellitus were associated with the development of postpartum hypertension. The antepartum ratio of soluble fms-like tyrosine kinase 1 to placental growth factor positively correlated with blood pressures in the postpartum period (highest postpartum systolic blood pressure [r=0.29, P&lt;0.001] and diastolic blood pressure [r=0.28, P&lt;0.001]). Moreover, the highest tertile of the antepartum ratio of soluble fms-like tyrosine kinase 1 to placental growth factor was independently associated with postpartum hypertension (de novo hypertensive group: odds ratio, 2.25; 95% confidence interval, 1.19-4.25; P=0.01; in the persistent hypertensive group: odds ratio, 2.61; 95% confidence interval, 1.12-6.05; P=0.02) in multivariable analysis. Women developing postpartum hypertension had longer hospitalizations than those who remained normotensive (6.5±3.5 versus 5.7±3.4 days; P&lt;0.001). Conclusions-Hypertension in the postpartum period is relatively common and is associated with prolonged hospitalization. Women with postpartum hypertension have clinical risk factors and an antepartum plasma angiogenic profile similar to those found in women with preeclampsia. These data suggest that women with postpartum hypertension may represent a group of women with subclinical or unresolved preeclampsia.","author":[{"dropping-particle":"","family":"Goel","given":"Arvind","non-dropping-particle":"","parse-names":false,"suffix":""},{"dropping-particle":"","family":"Maski","given":"Manish R.","non-dropping-particle":"","parse-names":false,"suffix":""},{"dropping-particle":"","family":"Bajracharya","given":"Surichhya","non-dropping-particle":"","parse-names":false,"suffix":""},{"dropping-particle":"","family":"Wenger","given":"Julia B.","non-dropping-particle":"","parse-names":false,"suffix":""},{"dropping-particle":"","family":"Zhang","given":"Dongsheng","non-dropping-particle":"","parse-names":false,"suffix":""},{"dropping-particle":"","family":"Salahuddin","given":"Saira","non-dropping-particle":"","parse-names":false,"suffix":""},{"dropping-particle":"","family":"Shahul","given":"Sajid S.","non-dropping-particle":"","parse-names":false,"suffix":""},{"dropping-particle":"","family":"Thadhani","given":"Ravi","non-dropping-particle":"","parse-names":false,"suffix":""},{"dropping-particle":"","family":"Seely","given":"Ellen W.","non-dropping-particle":"","parse-names":false,"suffix":""},{"dropping-particle":"","family":"Karumanchi","given":"S. Ananth","non-dropping-particle":"","parse-names":false,"suffix":""},{"dropping-particle":"","family":"Rana","given":"Sarosh","non-dropping-particle":"","parse-names":false,"suffix":""}],"container-title":"Circulation","id":"ITEM-2","issue":"18","issued":{"date-parts":[["2015","11","3"]]},"page":"1726-1733","publisher":"Lippincott Williams and Wilkins","title":"Epidemiology and mechanisms of de novo and persistent hypertension in the postpartum period","type":"article-journal","volume":"132"},"uris":["http://www.mendeley.com/documents/?uuid=bcbcaf79-13f6-3fc2-9883-65620d2a59d2"]},{"id":"ITEM-3","itemData":{"DOI":"10.1016/j.ajog.2004.02.037","ISSN":"00029378","PMID":"15167870","abstract":"Objective: Preeclampsia affects 6% to 8% of pregnancies. There are few data regarding hypertensive disorders that are diagnosed in the postpartum period. Our purpose was to determine the demographics, outcomes, and treatment of this complication. Study design: This was a multicenter retrospective study of women who had received a diagnosis of hypertension/preeclampsia in the postpartum period. Inclusion criteria were readmission of a patient with this diagnosis (≤6 weeks after the delivery). Results: Data from 151 women were studied. Complications included 24 cases (15.9%) of eclampsia, 9 cases (5.9%) of pulmonary edema, 6 cases (3.9%) of endomyometritis, 2 cases (1.3%) of thromboembolism, and 1 case of maternal death. Seventy-eight patients required antihypertensive medications on discharge. Subanalysis performed between the eclamptic and non-eclamptic women showed no difference among groups. Conclusion: Delivery does not eliminate the risk for preeclampsia and its complications. Efforts should be directed at the continued monitoring, reporting, and evaluating of the symptoms of preeclampsia during the postpartum period. © 2004 Elsevier Inc. All rights reserved.","author":[{"dropping-particle":"","family":"Matthys","given":"Laura A.","non-dropping-particle":"","parse-names":false,"suffix":""},{"dropping-particle":"","family":"Coppage","given":"Kristin H.","non-dropping-particle":"","parse-names":false,"suffix":""},{"dropping-particle":"","family":"Lambers","given":"Donna S.","non-dropping-particle":"","parse-names":false,"suffix":""},{"dropping-particle":"","family":"Barton","given":"John R.","non-dropping-particle":"","parse-names":false,"suffix":""},{"dropping-particle":"","family":"Sibai","given":"Baha M.","non-dropping-particle":"","parse-names":false,"suffix":""}],"container-title":"American Journal of Obstetrics and Gynecology","id":"ITEM-3","issue":"5","issued":{"date-parts":[["2004"]]},"page":"1464-1466","publisher":"Mosby Inc.","title":"Delayed postpartum preeclampsia: An experience of 151 cases","type":"article-journal","volume":"190"},"uris":["http://www.mendeley.com/documents/?uuid=5ff29247-5475-3d68-b664-c62bac9ae8c0"]}],"mendeley":{"formattedCitation":"(Matthys &lt;i&gt;et al.&lt;/i&gt;, 2004; Sibai, 2012; Goel &lt;i&gt;et al.&lt;/i&gt;, 2015)","plainTextFormattedCitation":"(Matthys et al., 2004; Sibai, 2012; Goel et al., 2015)","previouslyFormattedCitation":"(Matthys &lt;i&gt;et al.&lt;/i&gt;, 2004; Sibai, 2012; Goel &lt;i&gt;et al.&lt;/i&gt;, 2015)"},"properties":{"noteIndex":0},"schema":"https://github.com/citation-style-language/schema/raw/master/csl-citation.json"}</w:instrText>
      </w:r>
      <w:r w:rsidR="00B93050">
        <w:fldChar w:fldCharType="separate"/>
      </w:r>
      <w:r w:rsidR="00B93050" w:rsidRPr="00B93050">
        <w:rPr>
          <w:noProof/>
        </w:rPr>
        <w:t xml:space="preserve">(Matthys </w:t>
      </w:r>
      <w:r w:rsidR="00B93050" w:rsidRPr="00B93050">
        <w:rPr>
          <w:i/>
          <w:noProof/>
        </w:rPr>
        <w:t>et al.</w:t>
      </w:r>
      <w:r w:rsidR="00B93050" w:rsidRPr="00B93050">
        <w:rPr>
          <w:noProof/>
        </w:rPr>
        <w:t xml:space="preserve">, 2004; Sibai, 2012; Goel </w:t>
      </w:r>
      <w:r w:rsidR="00B93050" w:rsidRPr="00B93050">
        <w:rPr>
          <w:i/>
          <w:noProof/>
        </w:rPr>
        <w:t>et al.</w:t>
      </w:r>
      <w:r w:rsidR="00B93050" w:rsidRPr="00B93050">
        <w:rPr>
          <w:noProof/>
        </w:rPr>
        <w:t>, 2015)</w:t>
      </w:r>
      <w:r w:rsidR="00B93050">
        <w:fldChar w:fldCharType="end"/>
      </w:r>
      <w:r w:rsidR="00B93050">
        <w:t xml:space="preserve"> </w:t>
      </w:r>
      <w:r w:rsidR="00CB0321">
        <w:t>Additionally, whilst a significant proportion of women with hypertension will become normotensive following delivery</w:t>
      </w:r>
      <w:r w:rsidR="001D5281">
        <w:t xml:space="preserve"> </w:t>
      </w:r>
      <w:r w:rsidR="008E0616">
        <w:t>some</w:t>
      </w:r>
      <w:r w:rsidR="001D5281">
        <w:t xml:space="preserve"> will also continue to experience hypertension, and even a worsening of disease</w:t>
      </w:r>
      <w:r w:rsidR="00B93050">
        <w:t xml:space="preserve">, within the postnatal period </w:t>
      </w:r>
      <w:r w:rsidR="00B93050">
        <w:fldChar w:fldCharType="begin" w:fldLock="1"/>
      </w:r>
      <w:r w:rsidR="00810CD5">
        <w:instrText>ADDIN CSL_CITATION {"citationItems":[{"id":"ITEM-1","itemData":{"DOI":"10.1161/CIRCULATIONAHA.115.015721","ISSN":"15244539","PMID":"26416810","abstract":"Background-The pathophysiology of hypertension in the immediate postpartum period is unclear. Methods and Results-We studied 988 consecutive women admitted to a tertiary medical center for cesarean section of a singleton pregnancy. The angiogenic factors soluble fms-like tyrosine kinase 1 and placental growth factor, both biomarkers associated with preeclampsia, were measured on antepartum blood samples. We then performed multivariable analyses to determine factors associated with the risk of developing postpartum hypertension. Of the 988 women, 184 women (18.6%) developed postpartum hypertension. Of the 184 women, 77 developed de novo hypertension in the postpartum period, and the remainder had a hypertensive disorder of pregnancy in the antepartum period. A higher body mass index and history of diabetes mellitus were associated with the development of postpartum hypertension. The antepartum ratio of soluble fms-like tyrosine kinase 1 to placental growth factor positively correlated with blood pressures in the postpartum period (highest postpartum systolic blood pressure [r=0.29, P&lt;0.001] and diastolic blood pressure [r=0.28, P&lt;0.001]). Moreover, the highest tertile of the antepartum ratio of soluble fms-like tyrosine kinase 1 to placental growth factor was independently associated with postpartum hypertension (de novo hypertensive group: odds ratio, 2.25; 95% confidence interval, 1.19-4.25; P=0.01; in the persistent hypertensive group: odds ratio, 2.61; 95% confidence interval, 1.12-6.05; P=0.02) in multivariable analysis. Women developing postpartum hypertension had longer hospitalizations than those who remained normotensive (6.5±3.5 versus 5.7±3.4 days; P&lt;0.001). Conclusions-Hypertension in the postpartum period is relatively common and is associated with prolonged hospitalization. Women with postpartum hypertension have clinical risk factors and an antepartum plasma angiogenic profile similar to those found in women with preeclampsia. These data suggest that women with postpartum hypertension may represent a group of women with subclinical or unresolved preeclampsia.","author":[{"dropping-particle":"","family":"Goel","given":"Arvind","non-dropping-particle":"","parse-names":false,"suffix":""},{"dropping-particle":"","family":"Maski","given":"Manish R.","non-dropping-particle":"","parse-names":false,"suffix":""},{"dropping-particle":"","family":"Bajracharya","given":"Surichhya","non-dropping-particle":"","parse-names":false,"suffix":""},{"dropping-particle":"","family":"Wenger","given":"Julia B.","non-dropping-particle":"","parse-names":false,"suffix":""},{"dropping-particle":"","family":"Zhang","given":"Dongsheng","non-dropping-particle":"","parse-names":false,"suffix":""},{"dropping-particle":"","family":"Salahuddin","given":"Saira","non-dropping-particle":"","parse-names":false,"suffix":""},{"dropping-particle":"","family":"Shahul","given":"Sajid S.","non-dropping-particle":"","parse-names":false,"suffix":""},{"dropping-particle":"","family":"Thadhani","given":"Ravi","non-dropping-particle":"","parse-names":false,"suffix":""},{"dropping-particle":"","family":"Seely","given":"Ellen W.","non-dropping-particle":"","parse-names":false,"suffix":""},{"dropping-particle":"","family":"Karumanchi","given":"S. Ananth","non-dropping-particle":"","parse-names":false,"suffix":""},{"dropping-particle":"","family":"Rana","given":"Sarosh","non-dropping-particle":"","parse-names":false,"suffix":""}],"container-title":"Circulation","id":"ITEM-1","issue":"18","issued":{"date-parts":[["2015","11","3"]]},"page":"1726-1733","publisher":"Lippincott Williams and Wilkins","title":"Epidemiology and mechanisms of de novo and persistent hypertension in the postpartum period","type":"article-journal","volume":"132"},"uris":["http://www.mendeley.com/documents/?uuid=bcbcaf79-13f6-3fc2-9883-65620d2a59d2"]}],"mendeley":{"formattedCitation":"(Goel &lt;i&gt;et al.&lt;/i&gt;, 2015)","plainTextFormattedCitation":"(Goel et al., 2015)","previouslyFormattedCitation":"(Goel &lt;i&gt;et al.&lt;/i&gt;, 2015)"},"properties":{"noteIndex":0},"schema":"https://github.com/citation-style-language/schema/raw/master/csl-citation.json"}</w:instrText>
      </w:r>
      <w:r w:rsidR="00B93050">
        <w:fldChar w:fldCharType="separate"/>
      </w:r>
      <w:r w:rsidR="00B93050" w:rsidRPr="00B93050">
        <w:rPr>
          <w:noProof/>
        </w:rPr>
        <w:t xml:space="preserve">(Goel </w:t>
      </w:r>
      <w:r w:rsidR="00B93050" w:rsidRPr="00B93050">
        <w:rPr>
          <w:i/>
          <w:noProof/>
        </w:rPr>
        <w:t>et al.</w:t>
      </w:r>
      <w:r w:rsidR="00B93050" w:rsidRPr="00B93050">
        <w:rPr>
          <w:noProof/>
        </w:rPr>
        <w:t>, 2015)</w:t>
      </w:r>
      <w:r w:rsidR="00B93050">
        <w:fldChar w:fldCharType="end"/>
      </w:r>
      <w:r w:rsidR="00B93050">
        <w:t xml:space="preserve">. To reflect the epidemiology of these conditions we manage the incidence and resolution of hypertension in the </w:t>
      </w:r>
      <w:r w:rsidR="00DA79AA">
        <w:t>postnatal period in the following ways, varying according to whether the individual is hypertensive at the time of birth. For those women:</w:t>
      </w:r>
    </w:p>
    <w:p w14:paraId="2879AC53" w14:textId="7AD90E21" w:rsidR="00B93050" w:rsidRDefault="00B93050" w:rsidP="00DA79AA">
      <w:pPr>
        <w:pStyle w:val="ListParagraph"/>
        <w:numPr>
          <w:ilvl w:val="0"/>
          <w:numId w:val="20"/>
        </w:numPr>
        <w:spacing w:line="360" w:lineRule="auto"/>
      </w:pPr>
      <w:r>
        <w:t xml:space="preserve">On birth we apply a probability that women with </w:t>
      </w:r>
      <w:r w:rsidR="00DA79AA">
        <w:t>a pre-existing hypertensive disorder of pregnancy will experience resolution of their condition – otherwise they remain in the same disease ‘state’ as during labour</w:t>
      </w:r>
    </w:p>
    <w:p w14:paraId="7636F0A4" w14:textId="51D779E3" w:rsidR="00DA79AA" w:rsidRDefault="00D417C9" w:rsidP="00B93050">
      <w:pPr>
        <w:pStyle w:val="ListParagraph"/>
        <w:numPr>
          <w:ilvl w:val="0"/>
          <w:numId w:val="20"/>
        </w:numPr>
        <w:spacing w:line="360" w:lineRule="auto"/>
      </w:pPr>
      <w:r>
        <w:t>From week one w</w:t>
      </w:r>
      <w:r w:rsidR="00DA79AA">
        <w:t>e apply a probability of resolution to all hypertensive women weekly throughout the postnatal period</w:t>
      </w:r>
    </w:p>
    <w:p w14:paraId="526BDA32" w14:textId="653D9C6D" w:rsidR="00D417C9" w:rsidRDefault="00D417C9" w:rsidP="00B93050">
      <w:pPr>
        <w:pStyle w:val="ListParagraph"/>
        <w:numPr>
          <w:ilvl w:val="0"/>
          <w:numId w:val="20"/>
        </w:numPr>
        <w:spacing w:line="360" w:lineRule="auto"/>
      </w:pPr>
      <w:r>
        <w:t>For women whose hypertension doesn’t resolve we apply risk of progression to a more severe state</w:t>
      </w:r>
    </w:p>
    <w:p w14:paraId="7D696F9E" w14:textId="207D73AE" w:rsidR="00DA79AA" w:rsidRDefault="00DA79AA" w:rsidP="00DA79AA">
      <w:pPr>
        <w:spacing w:line="360" w:lineRule="auto"/>
      </w:pPr>
      <w:r>
        <w:t>For women who are not hypertensive at birth:</w:t>
      </w:r>
    </w:p>
    <w:p w14:paraId="2A76377A" w14:textId="3F2ECB2C" w:rsidR="00DA79AA" w:rsidRDefault="00DA79AA" w:rsidP="00B93050">
      <w:pPr>
        <w:pStyle w:val="ListParagraph"/>
        <w:numPr>
          <w:ilvl w:val="0"/>
          <w:numId w:val="20"/>
        </w:numPr>
        <w:spacing w:line="360" w:lineRule="auto"/>
      </w:pPr>
      <w:r>
        <w:t>We apply a weekly risk of developing either mild pre-eclampsia or mild gestational hypertension (see figure 1)</w:t>
      </w:r>
      <w:r w:rsidR="00D417C9">
        <w:t xml:space="preserve"> from week 1</w:t>
      </w:r>
    </w:p>
    <w:p w14:paraId="6C334B9D" w14:textId="25667178" w:rsidR="001D5281" w:rsidRDefault="00DA79AA" w:rsidP="000A1504">
      <w:pPr>
        <w:pStyle w:val="ListParagraph"/>
        <w:numPr>
          <w:ilvl w:val="0"/>
          <w:numId w:val="20"/>
        </w:numPr>
        <w:spacing w:line="360" w:lineRule="auto"/>
      </w:pPr>
      <w:r>
        <w:t xml:space="preserve">From the following week we apply a </w:t>
      </w:r>
      <w:r w:rsidR="00D417C9">
        <w:t>apply risk of progression to a more severe state</w:t>
      </w:r>
    </w:p>
    <w:p w14:paraId="27A5E892" w14:textId="59D603BC" w:rsidR="00D417C9" w:rsidRDefault="00D417C9" w:rsidP="00D417C9">
      <w:pPr>
        <w:spacing w:line="360" w:lineRule="auto"/>
      </w:pPr>
      <w:r>
        <w:lastRenderedPageBreak/>
        <w:t>Risk factors increasing risk of disease onset and the structure of the natural history models remains unchanged from the antenatal model. Please see the associate methods documents for these flow diagrams.</w:t>
      </w:r>
    </w:p>
    <w:p w14:paraId="538CA827" w14:textId="2860626F" w:rsidR="00761DD3" w:rsidRPr="00BD7F21" w:rsidRDefault="00761DD3" w:rsidP="00761DD3">
      <w:pPr>
        <w:spacing w:line="360" w:lineRule="auto"/>
        <w:rPr>
          <w:b/>
          <w:bCs/>
          <w:i/>
          <w:color w:val="A8D08D" w:themeColor="accent6" w:themeTint="99"/>
        </w:rPr>
      </w:pPr>
      <w:r>
        <w:rPr>
          <w:b/>
          <w:bCs/>
          <w:i/>
          <w:color w:val="A8D08D" w:themeColor="accent6" w:themeTint="99"/>
        </w:rPr>
        <w:t xml:space="preserve">Anaemia </w:t>
      </w:r>
      <w:r w:rsidR="004D6B9F">
        <w:rPr>
          <w:b/>
          <w:bCs/>
          <w:i/>
          <w:color w:val="A8D08D" w:themeColor="accent6" w:themeTint="99"/>
        </w:rPr>
        <w:t>and deficiencies</w:t>
      </w:r>
    </w:p>
    <w:p w14:paraId="53ABA55E" w14:textId="206A979E" w:rsidR="004D6B9F" w:rsidRDefault="00810CD5" w:rsidP="004D6B9F">
      <w:pPr>
        <w:spacing w:line="360" w:lineRule="auto"/>
      </w:pPr>
      <w:r>
        <w:t xml:space="preserve">The prevalence of maternal anaemia within the postnatal period remains high in settings contextually similar to Malawi </w:t>
      </w:r>
      <w:r>
        <w:fldChar w:fldCharType="begin" w:fldLock="1"/>
      </w:r>
      <w:r>
        <w:instrText>ADDIN CSL_CITATION {"citationItems":[{"id":"ITEM-1","itemData":{"DOI":"10.1155/2020/8979740","ISSN":"20901275","abstract":"Background. Anaemia is a major global health problem, especially in developing countries. Postpartum anaemia hurts both maternal and newborn baby health. Anaemia in pregnancy is sufficiently emphasized; however, very little attention has been paid to postpartum anaemia in Ethiopia. Therefore, this study aimed to investigate the proportion of immediate postpartum anaemia and associated factors among postpartum mothers in Debre Markos Referral Hospital. Methods. Institutional-based cross-sectional study was conducted among 424 study participants from August 1st to October 30th, 2019. A systematic random sampling technique was employed to select the study participants. Data were collected through both face-to-face interview and maternal chart review by using a pretested questionnaire. Data were cleaned, coded, and entered using Epi Data version 4.6.0.0 and then exported to SPSS version 24 for analysis. First, binary logistic regression was applied to identify candidate variables for multivariable regression. Then, variables at p value &lt;0.2 were entered into a multivariable logistic regression to control possible confounders. Finally, variables at p value &lt;0.05 were considered as statistically significant. Results. The proportion of immediate postpartum anaemia was 24.3%. Frequency of antenatal care (ANC) visits &lt;4 times [AOR = 2.40; 95% CI (1.29, 4.43)], antepartum haemorrhage (APH) [AOR = 5.08; 95% CI (1.91, 13.55)], postpartum haemorrhage (PPH) [AOR = 4.47; 95% CI (2.25, 8.88)], giving birth assisted by instruments (vacuum or forceps) [AOR = 3.99; 95% CI (1.42, 11.23)], poor adherence to iron and folic acid (IFA) [AOR = 2.52; 95% CI (1.06, 6.04)], and midupper arm circumference (MUAC) &lt;23 cm [AOR = 3.25; 95% CI (1.87, 5.65)] were the predictors. Conclusion. The proportion of immediate postpartum anaemia was a moderate public health concern. ANC, APH, PPH, mode of delivery, adherence to IFA supplementation, and MUAC measurement were the factors affecting the magnitude of anaemia. Therefore, interventions that would address the above mentioned factors need to be implemented.","author":[{"dropping-particle":"","family":"Abebaw","given":"Asenake","non-dropping-particle":"","parse-names":false,"suffix":""},{"dropping-particle":"","family":"Gudayu","given":"Temesgen Worku","non-dropping-particle":"","parse-names":false,"suffix":""},{"dropping-particle":"","family":"Kelkay","given":"Bayew","non-dropping-particle":"","parse-names":false,"suffix":""}],"container-title":"Anemia","id":"ITEM-1","issued":{"date-parts":[["2020"]]},"publisher":"Hindawi Limited","title":"Proportion of Immediate Postpartum Anaemia and Associated Factors among Postnatal Mothers in Northwest Ethiopia: A Cross-Sectional Study","type":"article-journal","volume":"2020"},"uris":["http://www.mendeley.com/documents/?uuid=bd75114b-d23a-3179-8ace-9b3755ac82fc"]},{"id":"ITEM-2","itemData":{"DOI":"10.1186/s40795-019-0303-x","ISSN":"20550928","abstract":"Background: Anaemia among pregnant women and post-partum mothers is a public health challenge in Ghana, especially in the Volta Region. While literature abounds on anaemia among pregnant women, the same cannot be said for anaemia among post-partum mothers in the region. This study, therefore, examined the prevalence and associated risk factors of anaemia among women attending antenatal care and post-natal care. Methods: This descriptive cross-sectional survey recruited 409 pregnant women and 194 post-natal mothers attending antenatal and post-natal care, at the Hohoe Municipal Hospital. Background characteristics were collected using a semi-structured questionnaire, blood samples were analysed for the presence of anaemia and malaria parasitaemia and folders were reviewed for estimated blood loss. Results: We found the prevalence of anaemia among pregnant women and post-partum mothers to be 33 and 16% respectively. Higher malaria parasitaemia (2%) was found in pregnant women compared with postpartum mothers (1%). We found that 4% of post-partum mothers had abnormal blood loss (301mls-500mls) whereas 5% of them had postpartum haemorrhage (&gt;500mls) during child birth. A univariate logistics regression of anaemia status on some risk factors in pregnant women showed no significant association between anaemia and any of the risk factors. Among post-partum mothers, only mothers' age was statistically significant in the univariate analysis [COR = 0.27 (95% CI:0.103, 0.72);0.008]. Mothers aged 20-29 were 73% less likely to be anaemic. Conclusion: The prevalence of anaemia among pregnant women found in this study points to a situation of moderate public health problem according to WHO cut-off values for the public health significance of anaemia. Strategies should therefore be put in place to encourage thorough health education and promotion programmes among both pregnant and post-partum women.","author":[{"dropping-particle":"","family":"Kofie","given":"Philip","non-dropping-particle":"","parse-names":false,"suffix":""},{"dropping-particle":"","family":"Tarkang","given":"Elvis E.","non-dropping-particle":"","parse-names":false,"suffix":""},{"dropping-particle":"","family":"Manu","given":"Emmanuel","non-dropping-particle":"","parse-names":false,"suffix":""},{"dropping-particle":"","family":"Amu","given":"Hubert","non-dropping-particle":"","parse-names":false,"suffix":""},{"dropping-particle":"","family":"Ayanore","given":"Martin Amogre","non-dropping-particle":"","parse-names":false,"suffix":""},{"dropping-particle":"","family":"Aku","given":"Fortress Yayra","non-dropping-particle":"","parse-names":false,"suffix":""},{"dropping-particle":"","family":"Komesuor","given":"Joyce","non-dropping-particle":"","parse-names":false,"suffix":""},{"dropping-particle":"","family":"Adjuik","given":"Martin","non-dropping-particle":"","parse-names":false,"suffix":""},{"dropping-particle":"","family":"Binka","given":"Fred","non-dropping-particle":"","parse-names":false,"suffix":""},{"dropping-particle":"","family":"Kweku","given":"Margaret","non-dropping-particle":"","parse-names":false,"suffix":""}],"container-title":"BMC Nutrition","id":"ITEM-2","issue":"1","issued":{"date-parts":[["2019","11","26"]]},"page":"40","publisher":"BioMed Central","title":"Prevalence and associated risk factors of anaemia among women attending antenatal and post-natal clinics at a public health facility in Ghana","type":"article-journal","volume":"5"},"uris":["http://www.mendeley.com/documents/?uuid=9cf86eb5-40da-33a1-833f-2993758949cf"]}],"mendeley":{"formattedCitation":"(Kofie &lt;i&gt;et al.&lt;/i&gt;, 2019; Abebaw, Gudayu and Kelkay, 2020)","plainTextFormattedCitation":"(Kofie et al., 2019; Abebaw, Gudayu and Kelkay, 2020)","previouslyFormattedCitation":"(Kofie &lt;i&gt;et al.&lt;/i&gt;, 2019; Abebaw, Gudayu and Kelkay, 2020)"},"properties":{"noteIndex":0},"schema":"https://github.com/citation-style-language/schema/raw/master/csl-citation.json"}</w:instrText>
      </w:r>
      <w:r>
        <w:fldChar w:fldCharType="separate"/>
      </w:r>
      <w:r w:rsidRPr="00810CD5">
        <w:rPr>
          <w:noProof/>
        </w:rPr>
        <w:t xml:space="preserve">(Kofie </w:t>
      </w:r>
      <w:r w:rsidRPr="00810CD5">
        <w:rPr>
          <w:i/>
          <w:noProof/>
        </w:rPr>
        <w:t>et al.</w:t>
      </w:r>
      <w:r w:rsidRPr="00810CD5">
        <w:rPr>
          <w:noProof/>
        </w:rPr>
        <w:t>, 2019; Abebaw, Gudayu and Kelkay, 2020)</w:t>
      </w:r>
      <w:r>
        <w:fldChar w:fldCharType="end"/>
      </w:r>
      <w:r w:rsidR="004D6B9F" w:rsidRPr="004D6B9F">
        <w:t xml:space="preserve"> </w:t>
      </w:r>
      <w:r>
        <w:t xml:space="preserve">and remains an important predictor of maternal death </w:t>
      </w:r>
      <w:r>
        <w:fldChar w:fldCharType="begin" w:fldLock="1"/>
      </w:r>
      <w:r w:rsidR="00270108">
        <w:instrText>ADDIN CSL_CITATION {"citationItems":[{"id":"ITEM-1","itemData":{"DOI":"10.1016/S2214-109X(18)30078-0","ISSN":"2214109X","PMID":"29571592","abstract":"Background: Anaemia affects as many as half of all pregnant women in low-income and middle-income countries, but the burden of disease and associated maternal mortality are not robustly quantified. We aimed to assess the association between severe anaemia and maternal death with data from the WHO Multicountry Survey on maternal and newborn health. Methods: We used multilevel and propensity score regression analyses to establish the relation between severe anaemia and maternal death in 359 health facilities in 29 countries across Latin America, Africa, the Western Pacific, eastern Mediterranean, and southeast Asia. Severe anaemia was defined as antenatal or postnatal haemoglobin concentrations of less than 70 g/L in a blood sample obtained before death. Maternal death was defined as death any time after admission until the seventh day post partum or discharge. In regression analyses, we adjusted for post-partum haemorrhage, general anaesthesia, admission to intensive care, sepsis, pre-eclampsia or eclampsia, thrombocytopenia, shock, massive transfusion, severe oliguria, failure to form clots, and severe acidosis as confounding variables. These variables were used to develop the propensity score. Findings: 312 281 women admitted in labour or with ectopic pregnancies were included in the adjusted multilevel logistic analysis, and 12 470 were included in the propensity score regression analysis. The adjusted odds ratio for maternal death in women with severe anaemia compared with those without severe anaemia was 2·36 (95% CI 1·60–3·48). In the propensity score analysis, severe anaemia was also associated with maternal death (adjusted odds ratio 1·86 [95% CI 1·39–2·49]). Interpretation: Prevention and treatment of anaemia during pregnancy and post partum should remain a global public health and research priority. Funding: Barts and the London Charity.","author":[{"dropping-particle":"","family":"Daru","given":"Jahnavi","non-dropping-particle":"","parse-names":false,"suffix":""},{"dropping-particle":"","family":"Zamora","given":"Javier","non-dropping-particle":"","parse-names":false,"suffix":""},{"dropping-particle":"","family":"Fernández-Félix","given":"Borja M.","non-dropping-particle":"","parse-names":false,"suffix":""},{"dropping-particle":"","family":"Vogel","given":"Joshua","non-dropping-particle":"","parse-names":false,"suffix":""},{"dropping-particle":"","family":"Oladapo","given":"Olufemi T.","non-dropping-particle":"","parse-names":false,"suffix":""},{"dropping-particle":"","family":"Morisaki","given":"Naho","non-dropping-particle":"","parse-names":false,"suffix":""},{"dropping-particle":"","family":"Tunçalp","given":"Özge","non-dropping-particle":"","parse-names":false,"suffix":""},{"dropping-particle":"","family":"Torloni","given":"Maria Regina","non-dropping-particle":"","parse-names":false,"suffix":""},{"dropping-particle":"","family":"Mittal","given":"Suneeta","non-dropping-particle":"","parse-names":false,"suffix":""},{"dropping-particle":"","family":"Jayaratne","given":"Kapila","non-dropping-particle":"","parse-names":false,"suffix":""},{"dropping-particle":"","family":"Lumbiganon","given":"Pisake","non-dropping-particle":"","parse-names":false,"suffix":""},{"dropping-particle":"","family":"Togoobaatar","given":"Ganchimeg","non-dropping-particle":"","parse-names":false,"suffix":""},{"dropping-particle":"","family":"Thangaratinam","given":"Shakila","non-dropping-particle":"","parse-names":false,"suffix":""},{"dropping-particle":"","family":"Khan","given":"Khalid S.","non-dropping-particle":"","parse-names":false,"suffix":""}],"container-title":"The Lancet Global Health","id":"ITEM-1","issue":"5","issued":{"date-parts":[["2018","5","1"]]},"page":"e548-e554","publisher":"Elsevier Ltd","title":"Risk of maternal mortality in women with severe anaemia during pregnancy and post partum: a multilevel analysis","type":"article-journal","volume":"6"},"uris":["http://www.mendeley.com/documents/?uuid=137ae302-7aab-3f91-af1f-4d059c6f6d86"]}],"mendeley":{"formattedCitation":"(Daru &lt;i&gt;et al.&lt;/i&gt;, 2018)","plainTextFormattedCitation":"(Daru et al., 2018)","previouslyFormattedCitation":"(Daru &lt;i&gt;et al.&lt;/i&gt;, 2018)"},"properties":{"noteIndex":0},"schema":"https://github.com/citation-style-language/schema/raw/master/csl-citation.json"}</w:instrText>
      </w:r>
      <w:r>
        <w:fldChar w:fldCharType="separate"/>
      </w:r>
      <w:r w:rsidRPr="00810CD5">
        <w:rPr>
          <w:noProof/>
        </w:rPr>
        <w:t xml:space="preserve">(Daru </w:t>
      </w:r>
      <w:r w:rsidRPr="00810CD5">
        <w:rPr>
          <w:i/>
          <w:noProof/>
        </w:rPr>
        <w:t>et al.</w:t>
      </w:r>
      <w:r w:rsidRPr="00810CD5">
        <w:rPr>
          <w:noProof/>
        </w:rPr>
        <w:t>, 2018)</w:t>
      </w:r>
      <w:r>
        <w:fldChar w:fldCharType="end"/>
      </w:r>
      <w:r>
        <w:t>. A</w:t>
      </w:r>
      <w:r w:rsidR="004D6B9F" w:rsidRPr="004D6B9F">
        <w:t>s with the hypertensive disorders, we assume that individuals with anaemia and/or associated deficiencies will carry these properties into the postnatal period</w:t>
      </w:r>
      <w:r>
        <w:t xml:space="preserve"> and women therefore retain the ‘severity’ of their anaemia following birth</w:t>
      </w:r>
      <w:r w:rsidR="004D6B9F" w:rsidRPr="004D6B9F">
        <w:t xml:space="preserve">. As with the pregnancy model we do not apply a probability that anaemic women will progress to more severe </w:t>
      </w:r>
      <w:r w:rsidRPr="004D6B9F">
        <w:t>anaemia</w:t>
      </w:r>
      <w:r>
        <w:t xml:space="preserve"> either after birth or later within the postnatal period. </w:t>
      </w:r>
      <w:r w:rsidR="00086EE7">
        <w:t xml:space="preserve"> Women without anaemia are at risk of developing the condition postnatally and this risk is applied weekly. Any risk factors identified for antenatal anaemia are currently used within this model to modify individual risk of anaemia postnatally. </w:t>
      </w:r>
    </w:p>
    <w:p w14:paraId="41210BB8" w14:textId="6904F2AC" w:rsidR="00BD7F21" w:rsidRPr="000C0384" w:rsidRDefault="000C0384" w:rsidP="000C0384">
      <w:pPr>
        <w:spacing w:line="360" w:lineRule="auto"/>
        <w:rPr>
          <w:b/>
          <w:bCs/>
          <w:color w:val="A8D08D" w:themeColor="accent6" w:themeTint="99"/>
        </w:rPr>
      </w:pPr>
      <w:r>
        <w:rPr>
          <w:b/>
          <w:bCs/>
          <w:color w:val="A8D08D" w:themeColor="accent6" w:themeTint="99"/>
        </w:rPr>
        <w:t>Obstetric</w:t>
      </w:r>
      <w:r w:rsidR="00761DD3" w:rsidRPr="000C0384">
        <w:rPr>
          <w:b/>
          <w:bCs/>
          <w:color w:val="A8D08D" w:themeColor="accent6" w:themeTint="99"/>
        </w:rPr>
        <w:t xml:space="preserve"> fistula </w:t>
      </w:r>
    </w:p>
    <w:p w14:paraId="66C3F2D4" w14:textId="70A5BF3F" w:rsidR="007B5687" w:rsidRDefault="007B5687" w:rsidP="007B5687">
      <w:pPr>
        <w:spacing w:line="360" w:lineRule="auto"/>
      </w:pPr>
      <w:r>
        <w:t>Within low-income countries o</w:t>
      </w:r>
      <w:r w:rsidR="00270108">
        <w:t xml:space="preserve">bstetric fistula (vesicovaginal or rectovaginal – defined in table 1) </w:t>
      </w:r>
      <w:r>
        <w:t>remains</w:t>
      </w:r>
      <w:r w:rsidR="00270108">
        <w:t xml:space="preserve"> a significant cause of morbidity in women </w:t>
      </w:r>
      <w:r>
        <w:t xml:space="preserve">following birth </w:t>
      </w:r>
      <w:r>
        <w:fldChar w:fldCharType="begin" w:fldLock="1"/>
      </w:r>
      <w:r w:rsidR="00177B41">
        <w:instrText>ADDIN CSL_CITATION {"citationItems":[{"id":"ITEM-1","itemData":{"DOI":"10.2471/BLT.14.141473","abstract":"Perspectives Obstetric fistula-an abnormal connection between the vagina, rectum and/or bladder-may develop after prolonged and obstructed labour and lead to continuous urinary or faecal incontinence. Most fistulas occur in countries in sub-Saharan Africa or south Asia with poorly-resourced health systems. Women with obstetric fistula are indicators of the failure of health systems to deliver accessible, timely and appropriate intrapartum care. Incidence and prevalence measurements of obstetric fistula are needed to sustain interest in-and funding for-sustainable methods for prevention and treatment. Knowing the absolute numbers of women requiring treatment is also essential for effective health-care planning. Incidence and prevalence estimates of obstetric fistula are generally based on self-reporting, personal communication with surgeons, studies by advocacy groups and reviews of hospital services in which the relevant denominators are unknown or unreported. 1 The World Health Organization estimates that between 50 000 to 100 000 women worldwide develop obstetric fistula each year. 2 However, these estimates are based on scanty data and need to be updated. The relative rarity of obstetric fistula and the geographical remoteness of the areas where most cases occur mean that there are few reliable estimates of the number of women affected. A recent review of 19 studies attempted to estimate the global prevalence and incidence of obstetric fistula but could find very few studies that used a nationally-representative sample or were conducted in South Asia. 3 Data on the incidence of iatrogenic fistula-a complication of obstetric or gynaecologi-cal surgery-are also scarce. These cross-sectional prevalence studies and prospective and retrospective incidence studies have mostly used community or facility sampling or a combination of both. 3 Whatever the approach, it is important to report the methods used, the assumptions made and the strengths and limitations of these approaches. Facility-based studies Facility-based studies of prevalence or incidence can be easier to conduct than community-based studies and provide opportunities for clinical assessments and accurate diagnoses. The combination of existing medical records and study-based observations often permits comprehensive data collection. Facility-based studies may be entirely retrospective-if medical records have been kept carefully 4-or prospective. However, given the rarity of obstetric fistula, pro…","author":[{"dropping-particle":"","family":"Tunçalp","given":"Özge","non-dropping-particle":"","parse-names":false,"suffix":""},{"dropping-particle":"","family":"Tripathi","given":"Vandana","non-dropping-particle":"","parse-names":false,"suffix":""},{"dropping-particle":"","family":"Landry","given":"Evelyn","non-dropping-particle":"","parse-names":false,"suffix":""},{"dropping-particle":"","family":"Stanton","given":"Cynthia K","non-dropping-particle":"","parse-names":false,"suffix":""},{"dropping-particle":"","family":"Ahmed","given":"Saifuddin","non-dropping-particle":"","parse-names":false,"suffix":""}],"container-title":"Bull World Health Organ","id":"ITEM-1","issued":{"date-parts":[["2015"]]},"title":"Measuring the incidence and prevalence of obstetric fistula: approaches, needs and recommendations","type":"article-journal"},"uris":["http://www.mendeley.com/documents/?uuid=5aa664ec-e481-3fb6-972f-57c2c8e15f30"]}],"mendeley":{"formattedCitation":"(Tunçalp &lt;i&gt;et al.&lt;/i&gt;, 2015)","plainTextFormattedCitation":"(Tunçalp et al., 2015)","previouslyFormattedCitation":"(Tunçalp &lt;i&gt;et al.&lt;/i&gt;, 2015)"},"properties":{"noteIndex":0},"schema":"https://github.com/citation-style-language/schema/raw/master/csl-citation.json"}</w:instrText>
      </w:r>
      <w:r>
        <w:fldChar w:fldCharType="separate"/>
      </w:r>
      <w:r w:rsidRPr="00270108">
        <w:rPr>
          <w:noProof/>
        </w:rPr>
        <w:t xml:space="preserve">(Tunçalp </w:t>
      </w:r>
      <w:r w:rsidRPr="00270108">
        <w:rPr>
          <w:i/>
          <w:noProof/>
        </w:rPr>
        <w:t>et al.</w:t>
      </w:r>
      <w:r w:rsidRPr="00270108">
        <w:rPr>
          <w:noProof/>
        </w:rPr>
        <w:t>, 2015)</w:t>
      </w:r>
      <w:r>
        <w:fldChar w:fldCharType="end"/>
      </w:r>
      <w:r w:rsidR="00752428">
        <w:t xml:space="preserve"> with an estimate incidence in Malawi of 1.6 per 1000 women </w:t>
      </w:r>
      <w:r w:rsidR="00752428">
        <w:fldChar w:fldCharType="begin" w:fldLock="1"/>
      </w:r>
      <w:r w:rsidR="005D30A2">
        <w:instrText>ADDIN CSL_CITATION {"citationItems":[{"id":"ITEM-1","itemData":{"DOI":"10.1016/j.ijgo.2009.12.019","ISSN":"00207292","abstract":"OBJECTIVE To estimate the prevalence of obstetric fistula in Malawi and explore the potential risk factors for developing the condition. METHODS A community survey was conducted in 9 districts in Malawi, recruiting 3282 women aged at least 12years using the sibling based method to identify cases of obstetric fistula. Hospital records from 9 district hospitals involved in the community survey and all hospitals offering fistula repair services in Malawi were reviewed. RESULTS A total of 1107 women with obstetric fistula were identified: 575 from the community survey and 532 from hospital records. Median age was 29years (range, 12–89years). The prevalence of obstetric fistula was 1.6 per 1000 women. Women endured the condition for a median duration of 3years. Comparison of women with and without obstetric fistula revealed significant differences in age (P=0.02), occupation (P&lt;0.01), and tribal origin (P=0.02), but no differences in education level (P=0.73) or religion (P=0.08). CONCLUSION Obstetric fistula remains a major problem in Malawi. Increased awareness of the condition, improvement of maternal care services, and an increase in skilled personnel to perform fistula repair are needed to reduce the burden of this condition.","author":[{"dropping-particle":"V.","family":"Kalilani-Phiri","given":"Linda","non-dropping-particle":"","parse-names":false,"suffix":""},{"dropping-particle":"","family":"Umar","given":"Eric","non-dropping-particle":"","parse-names":false,"suffix":""},{"dropping-particle":"","family":"Lazaro","given":"Dorothy","non-dropping-particle":"","parse-names":false,"suffix":""},{"dropping-particle":"","family":"Lunguzi","given":"Juliana","non-dropping-particle":"","parse-names":false,"suffix":""},{"dropping-particle":"","family":"Chilungo","given":"Abdallah","non-dropping-particle":"","parse-names":false,"suffix":""}],"container-title":"International Journal of Gynecology &amp; Obstetrics","id":"ITEM-1","issue":"3","issued":{"date-parts":[["2010","6","1"]]},"page":"204-208","publisher":"No longer published by Elsevier","title":"Prevalence of obstetric fistula in Malawi","type":"article-journal","volume":"109"},"uris":["http://www.mendeley.com/documents/?uuid=3d1c3d49-ae5d-38bc-883a-6cfe864b15a2"]}],"mendeley":{"formattedCitation":"(Kalilani-Phiri &lt;i&gt;et al.&lt;/i&gt;, 2010)","plainTextFormattedCitation":"(Kalilani-Phiri et al., 2010)","previouslyFormattedCitation":"(Kalilani-Phiri &lt;i&gt;et al.&lt;/i&gt;, 2010)"},"properties":{"noteIndex":0},"schema":"https://github.com/citation-style-language/schema/raw/master/csl-citation.json"}</w:instrText>
      </w:r>
      <w:r w:rsidR="00752428">
        <w:fldChar w:fldCharType="separate"/>
      </w:r>
      <w:r w:rsidR="00752428" w:rsidRPr="00752428">
        <w:rPr>
          <w:noProof/>
        </w:rPr>
        <w:t xml:space="preserve">(Kalilani-Phiri </w:t>
      </w:r>
      <w:r w:rsidR="00752428" w:rsidRPr="00752428">
        <w:rPr>
          <w:i/>
          <w:noProof/>
        </w:rPr>
        <w:t>et al.</w:t>
      </w:r>
      <w:r w:rsidR="00752428" w:rsidRPr="00752428">
        <w:rPr>
          <w:noProof/>
        </w:rPr>
        <w:t>, 2010)</w:t>
      </w:r>
      <w:r w:rsidR="00752428">
        <w:fldChar w:fldCharType="end"/>
      </w:r>
      <w:r w:rsidR="00752428">
        <w:t xml:space="preserve"> </w:t>
      </w:r>
      <w:r>
        <w:t>.</w:t>
      </w:r>
      <w:r w:rsidR="00177B41">
        <w:t xml:space="preserve"> The impact of fistula on women is profound and complex and can lead to clinical outcomes such as incontinence and repeated infection as well as </w:t>
      </w:r>
      <w:r w:rsidR="00752428">
        <w:t xml:space="preserve">nuanced social outcome such as </w:t>
      </w:r>
      <w:r w:rsidR="00177B41">
        <w:t xml:space="preserve">degradation of martial relationships and community stigmatisation  </w:t>
      </w:r>
      <w:r w:rsidR="00177B41">
        <w:fldChar w:fldCharType="begin" w:fldLock="1"/>
      </w:r>
      <w:r w:rsidR="00177B41">
        <w:instrText>ADDIN CSL_CITATION {"citationItems":[{"id":"ITEM-1","itemData":{"DOI":"10.1186/s12884-015-0755-1","ISSN":"14712393","PMID":"26732574","abstract":"Background: Obstetric fistula affects a woman's life physically, psychosocially, and economically. Although surgery can repair the physical damage of fistula, the devastating consequences that affect a woman's quality of life may persist when she reintegrates into her community. This qualitative study assessed long-term outcomes among women who underwent obstetric fistula repair in Malawi. We explored three domains: overall quality of life before and after repair, fertility and pregnancy outcomes after repair, and understanding of fistula. Methods: In-depth interviews were conducted in Chichewa with 20 women from seven districts across Central Malawi. All women were interviewed 1 to 2 years after surgical repair for obstetric fistula at the Fistula Care Centre in Lilongwe, Malawi. Interviews were independently coded and analyzed using content analysis. Results: About half of women were married and nine of 20 women reported some degree of urinary incontinence. With the exception of relationship challenges, women's concerns before and after repair were different. Additionally, repair had resolved many of the concerns women had before repair. However, challenges, both directly and indirectly related to fistula, persisted. Improvements in quality of life at the individual level included feelings of freedom, confidence and personal growth, and improved income-earning ability. Interpersonal quality of life improvements included improved relationships with family and friends, reduced stigma, and increased participation with their communities. Nearly half of women desired future pregnancies, but many were uncertain about their ability to bear children and feared additional pregnancies could cause fistula recurrence. Most women were well informed about fistula development but myths about witchcraft and fear of delivery were present. Nearly all women would recommend fistula repair to other women, and many were advocates in their communities. Conclusions: Nearly all women believed their quality of life had improved at the individual and interpersonal levels since fistula repair, even among women who continued to have urinary incontinence. Contrary to other studies, women reported they were welcomed back by their communities and had limited challenges when reintegrating. Despite the overall improvements in quality of life, many continued to have relationship problems and were concerned about future fertility. These issues need to be further explored in other studies.","author":[{"dropping-particle":"","family":"Drew","given":"Laura B.","non-dropping-particle":"","parse-names":false,"suffix":""},{"dropping-particle":"","family":"Wilkinson","given":"Jeffrey P.","non-dropping-particle":"","parse-names":false,"suffix":""},{"dropping-particle":"","family":"Nundwe","given":"William","non-dropping-particle":"","parse-names":false,"suffix":""},{"dropping-particle":"","family":"Moyo","given":"Margaret","non-dropping-particle":"","parse-names":false,"suffix":""},{"dropping-particle":"","family":"Mataya","given":"Ronald","non-dropping-particle":"","parse-names":false,"suffix":""},{"dropping-particle":"","family":"Mwale","given":"Mwawi","non-dropping-particle":"","parse-names":false,"suffix":""},{"dropping-particle":"","family":"Tang","given":"Jennifer H.","non-dropping-particle":"","parse-names":false,"suffix":""}],"container-title":"BMC Pregnancy and Childbirth","id":"ITEM-1","issue":"1","issued":{"date-parts":[["2016","1","5"]]},"page":"2","publisher":"BioMed Central Ltd.","title":"Long-term outcomes for women after obstetric fistula repair in Lilongwe, Malawi: A qualitative study","type":"article-journal","volume":"16"},"uris":["http://www.mendeley.com/documents/?uuid=7a5a68ac-5e26-3801-829f-eb5d508224b9"]},{"id":"ITEM-2","itemData":{"DOI":"10.1080/13691058.2018.1497813","ISSN":"14645351","PMID":"30280975","abstract":"It is well-documented that obstetric fistula, a severe birth injury, is caused by a prolonged obstructed labour that has not been relieved on time. Lay people often understand causation differently. This study sought to explore the awareness and local meanings attached to obstetric fistula in the rural parts of Malawi. We conducted interviews with key informants and focus group discussions with community members in purposively selected communities in the central region of Malawi. We categorised data using Nvivo 10 and conducted a thematic analysis. Findings indicate that there is considerable awareness about fistula in local communities; however, community members have very limited knowledge about its causes. Participants associated obstetric fistula with sexually transmitted diseases, the woman's laziness to push during labour, witchcraft and the husband's infidelity, which contributed to the isolation of the affected women. Strategies to eradicate obstetric fistula in general, and its social consequences in particular, should include more information on causes and prevention. This may help to dispel misconceptions about fistula, increase acceptance and support for women with fistula, and subsequently improve the quality of their lives and the lives of girls and women who may suffer from this condition in the future.","author":[{"dropping-particle":"","family":"Changole","given":"Josephine","non-dropping-particle":"","parse-names":false,"suffix":""},{"dropping-particle":"","family":"Kafulafula","given":"Ursula","non-dropping-particle":"","parse-names":false,"suffix":""},{"dropping-particle":"","family":"Sundby","given":"Johanne","non-dropping-particle":"","parse-names":false,"suffix":""},{"dropping-particle":"","family":"Thorsen","given":"Viva","non-dropping-particle":"","parse-names":false,"suffix":""}],"container-title":"Culture, Health and Sexuality","id":"ITEM-2","issue":"5","issued":{"date-parts":[["2019","5","4"]]},"page":"605-617","publisher":"Routledge","title":"Community perceptions of obstetric fistula in Malawi","type":"article-journal","volume":"21"},"uris":["http://www.mendeley.com/documents/?uuid=4db06c64-1d24-3dbd-9c27-c3124d2f1644"]},{"id":"ITEM-3","itemData":{"DOI":"10.1080/13691050902874777","ISSN":"13691058","PMID":"19444686","abstract":"Data on women who experience obstetric fistula paints an often tragic picture. The majority of previous research has focused on facility-based data from women receiving surgical treatment. The goal of this qualitative study was to gain an understanding of the lived experience of obstetric fistula in Malawi. Forty-five women living with fistula were interviewed in their homes to learn how the condition affected them and their families on a daily basis. Findings indicate that the experiences of Malawian women with fistula were more varied than anticipated. Concerning relationships with husbands and family, we found high rates of divorce and stigma, yet these outcomes were far from universal or inevitable. Many women, in addition to their families, discussed high levels of support from those individuals closest to them. Nonetheless, many women experienced the fistula as a direct assault on their ability to fulfil social expectations of them as women, wives and mothers. Women identified fertility and continued childbearing as central concerns. The data suggest that we cannot discount the experiences of women living with fistula from continued participation in marriage, community and childbearing. Programmes for outreach and services should consider a broadened range of outcomes of women living with fistula.","author":[{"dropping-particle":"","family":"Yeakey","given":"Marissa Pine","non-dropping-particle":"","parse-names":false,"suffix":""},{"dropping-particle":"","family":"Chipeta","given":"Effie","non-dropping-particle":"","parse-names":false,"suffix":""},{"dropping-particle":"","family":"Taulo","given":"Frank","non-dropping-particle":"","parse-names":false,"suffix":""},{"dropping-particle":"","family":"Tsui","given":"Amy O.","non-dropping-particle":"","parse-names":false,"suffix":""}],"container-title":"Culture, Health and Sexuality","id":"ITEM-3","issue":"5","issued":{"date-parts":[["2009"]]},"page":"499-513","publisher":" Taylor &amp; Francis Group ","title":"The lived experience of Malawian women with obstetric fistula","type":"article-journal","volume":"11"},"uris":["http://www.mendeley.com/documents/?uuid=938683b0-f554-30a5-baa3-8e512cb33c56"]}],"mendeley":{"formattedCitation":"(Yeakey &lt;i&gt;et al.&lt;/i&gt;, 2009; Drew &lt;i&gt;et al.&lt;/i&gt;, 2016; Changole &lt;i&gt;et al.&lt;/i&gt;, 2019)","plainTextFormattedCitation":"(Yeakey et al., 2009; Drew et al., 2016; Changole et al., 2019)","previouslyFormattedCitation":"(Yeakey &lt;i&gt;et al.&lt;/i&gt;, 2009; Drew &lt;i&gt;et al.&lt;/i&gt;, 2016; Changole &lt;i&gt;et al.&lt;/i&gt;, 2019)"},"properties":{"noteIndex":0},"schema":"https://github.com/citation-style-language/schema/raw/master/csl-citation.json"}</w:instrText>
      </w:r>
      <w:r w:rsidR="00177B41">
        <w:fldChar w:fldCharType="separate"/>
      </w:r>
      <w:r w:rsidR="00177B41" w:rsidRPr="00177B41">
        <w:rPr>
          <w:noProof/>
        </w:rPr>
        <w:t xml:space="preserve">(Yeakey </w:t>
      </w:r>
      <w:r w:rsidR="00177B41" w:rsidRPr="00177B41">
        <w:rPr>
          <w:i/>
          <w:noProof/>
        </w:rPr>
        <w:t>et al.</w:t>
      </w:r>
      <w:r w:rsidR="00177B41" w:rsidRPr="00177B41">
        <w:rPr>
          <w:noProof/>
        </w:rPr>
        <w:t xml:space="preserve">, 2009; Drew </w:t>
      </w:r>
      <w:r w:rsidR="00177B41" w:rsidRPr="00177B41">
        <w:rPr>
          <w:i/>
          <w:noProof/>
        </w:rPr>
        <w:t>et al.</w:t>
      </w:r>
      <w:r w:rsidR="00177B41" w:rsidRPr="00177B41">
        <w:rPr>
          <w:noProof/>
        </w:rPr>
        <w:t xml:space="preserve">, 2016; Changole </w:t>
      </w:r>
      <w:r w:rsidR="00177B41" w:rsidRPr="00177B41">
        <w:rPr>
          <w:i/>
          <w:noProof/>
        </w:rPr>
        <w:t>et al.</w:t>
      </w:r>
      <w:r w:rsidR="00177B41" w:rsidRPr="00177B41">
        <w:rPr>
          <w:noProof/>
        </w:rPr>
        <w:t>, 2019)</w:t>
      </w:r>
      <w:r w:rsidR="00177B41">
        <w:fldChar w:fldCharType="end"/>
      </w:r>
      <w:r w:rsidR="00177B41">
        <w:t xml:space="preserve">. </w:t>
      </w:r>
      <w:r>
        <w:t xml:space="preserve">Within Malawi and similar settings the burden of obstetric fistula is </w:t>
      </w:r>
      <w:r w:rsidR="00270108">
        <w:t xml:space="preserve">driven, almost exclusively, by </w:t>
      </w:r>
      <w:r>
        <w:t xml:space="preserve">delays in women receiving </w:t>
      </w:r>
      <w:r w:rsidR="00177B41">
        <w:t>adequate</w:t>
      </w:r>
      <w:r>
        <w:t xml:space="preserve"> care </w:t>
      </w:r>
      <w:r w:rsidR="00177B41">
        <w:t xml:space="preserve">around the time of delivery- especially in the context of prolonged and/or obstructed labour </w:t>
      </w:r>
      <w:r w:rsidR="00177B41">
        <w:fldChar w:fldCharType="begin" w:fldLock="1"/>
      </w:r>
      <w:r w:rsidR="00752428">
        <w:instrText>ADDIN CSL_CITATION {"citationItems":[{"id":"ITEM-1","itemData":{"DOI":"10.2147/IJWH.S171610","ISSN":"1179-1411","abstract":"Introduction: Obstetric fistula (OF) is a devastating birth injury, which leaves a woman with leaking urine and/or feces accompanied by bad smell, a situation that has been likened to death itself. The condition is caused by neglected obstructed labor. Many factors underlie fistula formation, most of which are preventable. The main purpose of this study was to explore labor and childbirth experiences of women who developed OF with a focus on accessibility of care in the central region of Malawi. Methods: We conducted semi-structured interviews with 25 women with OF at Bwaila Fistula Care Center in Lilongwe and in its surrounding districts. We interviewed 20 women at Bwaila Fistula Care Center; additional five women were identified through snowball sampling and were interviewed in their homes. Data were categorized using Nvivo 11 and were analyzed using thematic analysis. The three delays model by Thaddeus and Maine was used for data analysis. Findings: The majority of women in our study suffered from OF with their subsequent pregnancies. All women experienced delays in one form or another consistent with the three-phase delays described by Thaddeus and Maine. Most of the participants (16) experienced two delays and 15 experienced second-phase delay, which was always coupled with the other; nine participants experienced delay while at the hospital. None of the participants experienced all three delays. Most decisions to seek health care when labor was complicated were made by mothers-in-law and traditional birth attendants. All but two delivered stillborn babies. Conclusion: Testimonies by women in our study suggest the complexity of the journey to developing fistula. Poverty, illiteracy, inaccessible health facilities, negligence, lack of male involvement in childbirth issues, and shortage of staff together conspire to fistula formation. To prevent new cases of OF in Malawi, the above mentioned issues need to be addressed, more importantly, increasing access to skilled attendance at birth and emergency obstetric care and promoting girls’ education to increase their financial autonomy and decision-making power about their reproductive lives. Also men need to be educated and be involved in maternal and women’s reproductive health issues to help them make informed decisions when their spouses end up with a complicated labor or delivery.","author":[{"dropping-particle":"","family":"Changole","given":"Josephine","non-dropping-particle":"","parse-names":false,"suffix":""},{"dropping-particle":"","family":"Combs Thorsen","given":"Viva","non-dropping-particle":"","parse-names":false,"suffix":""},{"dropping-particle":"","family":"Kafulafula","given":"Ursula","non-dropping-particle":"","parse-names":false,"suffix":""}],"container-title":"International Journal of Women's Health","id":"ITEM-1","issued":{"date-parts":[["2018","11","5"]]},"page":"699-713","publisher":"Dove Medical Press Ltd","title":"A road to obstetric fistula in Malawi: capturing women&amp;rsquo;s perspectives through a framework of three delays","type":"article-journal","volume":"Volume 10"},"uris":["http://www.mendeley.com/documents/?uuid=29c76c76-ad7d-3b34-b4d7-4f19e1991506"]}],"mendeley":{"formattedCitation":"(Changole, Combs Thorsen and Kafulafula, 2018)","plainTextFormattedCitation":"(Changole, Combs Thorsen and Kafulafula, 2018)","previouslyFormattedCitation":"(Changole, Combs Thorsen and Kafulafula, 2018)"},"properties":{"noteIndex":0},"schema":"https://github.com/citation-style-language/schema/raw/master/csl-citation.json"}</w:instrText>
      </w:r>
      <w:r w:rsidR="00177B41">
        <w:fldChar w:fldCharType="separate"/>
      </w:r>
      <w:r w:rsidR="00177B41" w:rsidRPr="00177B41">
        <w:rPr>
          <w:noProof/>
        </w:rPr>
        <w:t>(Changole, Combs Thorsen and Kafulafula, 2018)</w:t>
      </w:r>
      <w:r w:rsidR="00177B41">
        <w:fldChar w:fldCharType="end"/>
      </w:r>
      <w:r w:rsidR="00177B41">
        <w:t xml:space="preserve">. </w:t>
      </w:r>
      <w:r w:rsidR="00E61E61">
        <w:t xml:space="preserve"> Therefore whilst we apply a </w:t>
      </w:r>
      <w:r w:rsidR="00752428">
        <w:t xml:space="preserve">one-off </w:t>
      </w:r>
      <w:r w:rsidR="00E61E61">
        <w:t>risk of fistula to all women, to accoun</w:t>
      </w:r>
      <w:r w:rsidR="001B66F4">
        <w:t>t for other iatrogenic causes</w:t>
      </w:r>
      <w:r w:rsidR="00E61E61">
        <w:t xml:space="preserve">, </w:t>
      </w:r>
      <w:r w:rsidR="00752428">
        <w:t xml:space="preserve"> and </w:t>
      </w:r>
      <w:r w:rsidR="00E61E61">
        <w:t>that risk will be significantly increase</w:t>
      </w:r>
      <w:r w:rsidR="00752428">
        <w:t>d</w:t>
      </w:r>
      <w:r w:rsidR="00E61E61">
        <w:t xml:space="preserve"> in women who have experience obstructed labour.</w:t>
      </w:r>
    </w:p>
    <w:p w14:paraId="1A64AD8E" w14:textId="762D037B" w:rsidR="00752428" w:rsidRPr="00752428" w:rsidRDefault="002002CD" w:rsidP="00752428">
      <w:pPr>
        <w:spacing w:line="360" w:lineRule="auto"/>
      </w:pPr>
      <w:r w:rsidRPr="00752428">
        <w:t xml:space="preserve">We do not assume obstetric fistula contributes to maternal mortality </w:t>
      </w:r>
      <w:r w:rsidR="008C4244" w:rsidRPr="00752428">
        <w:t>as a primary cause of death. Morbidity is captured through the associated DALY weights for both vesicovaginal and rectovaginal fistula.</w:t>
      </w:r>
    </w:p>
    <w:p w14:paraId="34709B73" w14:textId="45511B73" w:rsidR="00BD7F21" w:rsidRPr="00BD7F21" w:rsidRDefault="00BD7F21" w:rsidP="00BD7F21">
      <w:pPr>
        <w:spacing w:line="360" w:lineRule="auto"/>
        <w:rPr>
          <w:b/>
          <w:bCs/>
          <w:color w:val="A8D08D" w:themeColor="accent6" w:themeTint="99"/>
        </w:rPr>
      </w:pPr>
      <w:r w:rsidRPr="002E794D">
        <w:rPr>
          <w:b/>
          <w:bCs/>
          <w:color w:val="A8D08D" w:themeColor="accent6" w:themeTint="99"/>
        </w:rPr>
        <w:t xml:space="preserve">Incidence of </w:t>
      </w:r>
      <w:r>
        <w:rPr>
          <w:b/>
          <w:bCs/>
          <w:color w:val="A8D08D" w:themeColor="accent6" w:themeTint="99"/>
        </w:rPr>
        <w:t xml:space="preserve">Neonatal </w:t>
      </w:r>
      <w:r w:rsidRPr="002E794D">
        <w:rPr>
          <w:b/>
          <w:bCs/>
          <w:color w:val="A8D08D" w:themeColor="accent6" w:themeTint="99"/>
        </w:rPr>
        <w:t>Complications</w:t>
      </w:r>
      <w:r>
        <w:rPr>
          <w:b/>
          <w:bCs/>
          <w:color w:val="A8D08D" w:themeColor="accent6" w:themeTint="99"/>
        </w:rPr>
        <w:t xml:space="preserve"> and </w:t>
      </w:r>
      <w:r w:rsidRPr="002E794D">
        <w:rPr>
          <w:b/>
          <w:bCs/>
          <w:color w:val="A8D08D" w:themeColor="accent6" w:themeTint="99"/>
        </w:rPr>
        <w:t>Death in this model</w:t>
      </w:r>
    </w:p>
    <w:p w14:paraId="7A102990" w14:textId="6A040F75" w:rsidR="009B2AC4" w:rsidRPr="00A03373" w:rsidRDefault="005D30A2" w:rsidP="00BD7F21">
      <w:pPr>
        <w:spacing w:line="360" w:lineRule="auto"/>
      </w:pPr>
      <w:r w:rsidRPr="005D30A2">
        <w:t>At present neonatal sepsis is the only</w:t>
      </w:r>
      <w:r>
        <w:t xml:space="preserve"> neonatal</w:t>
      </w:r>
      <w:r w:rsidRPr="005D30A2">
        <w:t xml:space="preserve"> complication included in this model. Whilst sepsis is one of the primary causes of neonatal death </w:t>
      </w:r>
      <w:r>
        <w:fldChar w:fldCharType="begin" w:fldLock="1"/>
      </w:r>
      <w:r w:rsidR="00CC4D92">
        <w:instrText>ADDIN CSL_CITATION {"citationItems":[{"id":"ITEM-1","itemData":{"DOI":"10.2471/BLT.14.139790","author":[{"dropping-particle":"","family":"Oza","given":"Shefali","non-dropping-particle":"","parse-names":false,"suffix":""},{"dropping-particle":"","family":"Lawn","given":"Joy E","non-dropping-particle":"","parse-names":false,"suffix":""},{"dropping-particle":"","family":"Hogan","given":"Daniel R","non-dropping-particle":"","parse-names":false,"suffix":""},{"dropping-particle":"","family":"Mathers","given":"Colin","non-dropping-particle":"","parse-names":false,"suffix":""},{"dropping-particle":"","family":"Cousens","given":"Simon N","non-dropping-particle":"","parse-names":false,"suffix":""}],"container-title":"Bull World Health Organ","id":"ITEM-1","issued":{"date-parts":[["2015"]]},"page":"19-28","title":"Neonatal cause-of-death estimates for the early and late neonatal periods for 194 countries: 2000-2013","type":"article-journal","volume":"93"},"uris":["http://www.mendeley.com/documents/?uuid=e24abcbd-b2b2-35a3-acd5-111c18e2f4d4"]}],"mendeley":{"formattedCitation":"(Oza &lt;i&gt;et al.&lt;/i&gt;, 2015)","plainTextFormattedCitation":"(Oza et al., 2015)","previouslyFormattedCitation":"(Oza &lt;i&gt;et al.&lt;/i&gt;, 2015)"},"properties":{"noteIndex":0},"schema":"https://github.com/citation-style-language/schema/raw/master/csl-citation.json"}</w:instrText>
      </w:r>
      <w:r>
        <w:fldChar w:fldCharType="separate"/>
      </w:r>
      <w:r w:rsidRPr="005D30A2">
        <w:rPr>
          <w:noProof/>
        </w:rPr>
        <w:t xml:space="preserve">(Oza </w:t>
      </w:r>
      <w:r w:rsidRPr="005D30A2">
        <w:rPr>
          <w:i/>
          <w:noProof/>
        </w:rPr>
        <w:t>et al.</w:t>
      </w:r>
      <w:r w:rsidRPr="005D30A2">
        <w:rPr>
          <w:noProof/>
        </w:rPr>
        <w:t>, 2015)</w:t>
      </w:r>
      <w:r>
        <w:fldChar w:fldCharType="end"/>
      </w:r>
      <w:r w:rsidR="00D84E31">
        <w:t xml:space="preserve"> </w:t>
      </w:r>
      <w:r w:rsidRPr="005D30A2">
        <w:t xml:space="preserve">there are a considerable number of </w:t>
      </w:r>
      <w:r w:rsidRPr="005D30A2">
        <w:lastRenderedPageBreak/>
        <w:t xml:space="preserve">other </w:t>
      </w:r>
      <w:r w:rsidR="00D84E31">
        <w:t>drivers</w:t>
      </w:r>
      <w:r w:rsidRPr="005D30A2">
        <w:t xml:space="preserve"> of mortality which are either managed by models already under development (such as pneumonia or </w:t>
      </w:r>
      <w:r w:rsidR="00D84E31">
        <w:t>diarrhoea</w:t>
      </w:r>
      <w:r w:rsidRPr="005D30A2">
        <w:t xml:space="preserve">) or models that have yet to be developed. </w:t>
      </w:r>
      <w:r w:rsidR="00D84E31">
        <w:t>As the underlying determinants of early-onset sepsis are largely associated with birth and delivery (see below) late-onset sepsis is largely due to community transmission – which is outside of the focus of the maternal and perinatal health models, but will be a f</w:t>
      </w:r>
      <w:r w:rsidR="009B2AC4">
        <w:t>ocus of child health modelling.</w:t>
      </w:r>
    </w:p>
    <w:p w14:paraId="227E17D3" w14:textId="153CBE60" w:rsidR="00761DD3" w:rsidRPr="00D84E31" w:rsidRDefault="00761DD3" w:rsidP="00BD7F21">
      <w:pPr>
        <w:spacing w:line="360" w:lineRule="auto"/>
      </w:pPr>
      <w:r>
        <w:rPr>
          <w:b/>
          <w:bCs/>
          <w:i/>
          <w:color w:val="A8D08D" w:themeColor="accent6" w:themeTint="99"/>
        </w:rPr>
        <w:t xml:space="preserve">Neonatal Sepsis </w:t>
      </w:r>
    </w:p>
    <w:p w14:paraId="38709AF0" w14:textId="5917807B" w:rsidR="00B67638" w:rsidRDefault="00084FD9" w:rsidP="00BD7F21">
      <w:pPr>
        <w:spacing w:line="360" w:lineRule="auto"/>
      </w:pPr>
      <w:r w:rsidRPr="00B67638">
        <w:t>As seen in table 1</w:t>
      </w:r>
      <w:r w:rsidR="00B67638">
        <w:t>,</w:t>
      </w:r>
      <w:r w:rsidRPr="00B67638">
        <w:t xml:space="preserve"> the definition</w:t>
      </w:r>
      <w:r w:rsidR="00B67638">
        <w:t>s</w:t>
      </w:r>
      <w:r w:rsidRPr="00B67638">
        <w:t xml:space="preserve"> of sepsis within the neonatal period </w:t>
      </w:r>
      <w:r w:rsidR="00B67638">
        <w:t xml:space="preserve">are based around </w:t>
      </w:r>
      <w:r w:rsidR="005D30A2">
        <w:t xml:space="preserve">the timing of </w:t>
      </w:r>
      <w:r w:rsidR="00B67638">
        <w:t xml:space="preserve">onset. Therefore the application of risk of early-onset sepsis is split between the newborn outcomes model (responsible for day 0-2) and this model (responsible for the remainder of week 1). </w:t>
      </w:r>
      <w:r w:rsidR="00CD32E5">
        <w:t xml:space="preserve">As with maternal sepsis we apply the same natural history structure and risk factors first introduced in the newborn outcomes module, within this module also. This is consistent with the literature which suggests that determinants of early-onset infection and sepsis are largely due to vertical transmission from the mother and/or </w:t>
      </w:r>
      <w:r w:rsidR="00CD32E5" w:rsidRPr="00CD32E5">
        <w:t>nosocomial</w:t>
      </w:r>
      <w:r w:rsidR="00CD32E5">
        <w:t xml:space="preserve"> fact</w:t>
      </w:r>
      <w:r w:rsidR="005D30A2">
        <w:t xml:space="preserve">ors around the time of delivery </w:t>
      </w:r>
      <w:r w:rsidR="005D30A2">
        <w:fldChar w:fldCharType="begin" w:fldLock="1"/>
      </w:r>
      <w:r w:rsidR="005D30A2">
        <w:instrText>ADDIN CSL_CITATION {"citationItems":[{"id":"ITEM-1","itemData":{"DOI":"10.1128/CMR.00031-13","ISSN":"08938512","PMID":"24396135","abstract":"Early-onset sepsis remains a common and serious problem for neonates, especially preterm infants. Group B streptococcus (GBS) is the most common etiologic agent, while Escherichia coli is the most common cause of mortality. Current efforts toward maternal intrapartum antimicrobial prophylaxis have significantly reduced the rates of GBS disease but have been associated with increased rates of Gram-negative infections, especially among very-low-birth-weight infants. The diagnosis of neonatal sepsis is based on a combination of clinical presentation; the use of nonspecific markers, including C-reactive protein and procalcitonin (where available); blood cultures; and the use of molecular methods, including PCR. Cytokines, including interleukin 6 (IL-6), interleukin 8 (IL-8), gamma interferon (IFN-γ), and tumor necrosis factor alpha (TNF-α), and cell surface antigens, including soluble intercellular adhesion molecule (sICAM) and CD64, are also being increasingly examined for use as nonspecific screening measures for neonatal sepsis. Viruses, in particular enteroviruses, parechoviruses, and herpes simplex virus (HSV), should be considered in the differential diagnosis. Empirical treatment should be based on local patterns of antimicrobial resistance but typically consists of the use of ampicillin and gentamicin, or ampicillin and cefotaxime if meningitis is suspected, until the etiologic agent has been identified. Current research is focused primarily on development of vaccines against GBS. © 2014, American Society for Microbiology. All Rights Reserved.","author":[{"dropping-particle":"","family":"Simonsen","given":"Kari A.","non-dropping-particle":"","parse-names":false,"suffix":""},{"dropping-particle":"","family":"Anderson-Berry","given":"Ann L.","non-dropping-particle":"","parse-names":false,"suffix":""},{"dropping-particle":"","family":"Delair","given":"Shirley F.","non-dropping-particle":"","parse-names":false,"suffix":""},{"dropping-particle":"","family":"Dele Davies","given":"H.","non-dropping-particle":"","parse-names":false,"suffix":""}],"container-title":"Clinical Microbiology Reviews","id":"ITEM-1","issue":"1","issued":{"date-parts":[["2014"]]},"page":"21-47","publisher":"American Society for Microbiology (ASM)","title":"Early-onset neonatal sepsis","type":"article-journal","volume":"27"},"uris":["http://www.mendeley.com/documents/?uuid=6f5fbd07-0097-316a-8130-f0e7ed1412e9"]},{"id":"ITEM-2","itemData":{"DOI":"10.1186/s12879-015-0813-3","abstract":"Background: Although neonatal infections cause a significant proportion of deaths in the first week of life, little is known about the burden of neonatal disease originating from maternal infection or colonization globally. This paper describes the prevalence of vertical transmission-the percentage of newborns with neonatal infection among newborns exposed to maternal infection. Methods: We searched Pubmed, Embase, Scopus, Web of Science, Cochrane Library, and WHO Regional Databases for studies of maternal infection, vertical transmission, and neonatal infection. Studies that measured prevalence of bacterial vertical transmission were included. Random effects meta-analyses were used to pool data to calculate prevalence estimates of vertical transmission.","author":[{"dropping-particle":"","family":"Chan","given":"Grace J","non-dropping-particle":"","parse-names":false,"suffix":""},{"dropping-particle":"","family":"Lee","given":"Anne Cc","non-dropping-particle":"","parse-names":false,"suffix":""},{"dropping-particle":"","family":"Baqui","given":"Abdullah H","non-dropping-particle":"","parse-names":false,"suffix":""},{"dropping-particle":"","family":"Tan","given":"Jingwen","non-dropping-particle":"","parse-names":false,"suffix":""},{"dropping-particle":"","family":"Black","given":"Robert E","non-dropping-particle":"","parse-names":false,"suffix":""}],"id":"ITEM-2","issued":{"date-parts":[["2015"]]},"title":"Prevalence of early-onset neonatal infection among newborns of mothers with bacterial infection or colonization: a systematic review and meta-analysis","type":"article-journal"},"uris":["http://www.mendeley.com/documents/?uuid=f0820f91-3bf0-3af0-8786-5353e5a51f73"]}],"mendeley":{"formattedCitation":"(Simonsen &lt;i&gt;et al.&lt;/i&gt;, 2014; Chan &lt;i&gt;et al.&lt;/i&gt;, 2015)","plainTextFormattedCitation":"(Simonsen et al., 2014; Chan et al., 2015)","previouslyFormattedCitation":"(Simonsen &lt;i&gt;et al.&lt;/i&gt;, 2014; Chan &lt;i&gt;et al.&lt;/i&gt;, 2015)"},"properties":{"noteIndex":0},"schema":"https://github.com/citation-style-language/schema/raw/master/csl-citation.json"}</w:instrText>
      </w:r>
      <w:r w:rsidR="005D30A2">
        <w:fldChar w:fldCharType="separate"/>
      </w:r>
      <w:r w:rsidR="005D30A2" w:rsidRPr="005D30A2">
        <w:rPr>
          <w:noProof/>
        </w:rPr>
        <w:t xml:space="preserve">(Simonsen </w:t>
      </w:r>
      <w:r w:rsidR="005D30A2" w:rsidRPr="005D30A2">
        <w:rPr>
          <w:i/>
          <w:noProof/>
        </w:rPr>
        <w:t>et al.</w:t>
      </w:r>
      <w:r w:rsidR="005D30A2" w:rsidRPr="005D30A2">
        <w:rPr>
          <w:noProof/>
        </w:rPr>
        <w:t xml:space="preserve">, 2014; Chan </w:t>
      </w:r>
      <w:r w:rsidR="005D30A2" w:rsidRPr="005D30A2">
        <w:rPr>
          <w:i/>
          <w:noProof/>
        </w:rPr>
        <w:t>et al.</w:t>
      </w:r>
      <w:r w:rsidR="005D30A2" w:rsidRPr="005D30A2">
        <w:rPr>
          <w:noProof/>
        </w:rPr>
        <w:t>, 2015)</w:t>
      </w:r>
      <w:r w:rsidR="005D30A2">
        <w:fldChar w:fldCharType="end"/>
      </w:r>
      <w:r w:rsidR="005D30A2">
        <w:t>.</w:t>
      </w:r>
      <w:r w:rsidR="00B41E30">
        <w:t xml:space="preserve"> This means neonates have incidence of early-onset sepsis applied twice, once on birth and again in week one. Currently onset of sepsis within week one is randomised to replicated greater burden towards the first few days of the week.</w:t>
      </w:r>
    </w:p>
    <w:p w14:paraId="193DF34E" w14:textId="450A2E1E" w:rsidR="005D30A2" w:rsidRDefault="005D30A2" w:rsidP="00BD7F21">
      <w:pPr>
        <w:spacing w:line="360" w:lineRule="auto"/>
      </w:pPr>
      <w:r>
        <w:t>From week 2 of the neonatal period we apply individual risk of late onset sepsis which follows a very simple natural history model seen in figure 3.</w:t>
      </w:r>
    </w:p>
    <w:p w14:paraId="5B2D9908" w14:textId="283343A2" w:rsidR="005D30A2" w:rsidRDefault="005D30A2" w:rsidP="005D30A2">
      <w:pPr>
        <w:rPr>
          <w:b/>
        </w:rPr>
      </w:pPr>
      <w:r>
        <w:rPr>
          <w:noProof/>
          <w:lang w:eastAsia="en-GB"/>
        </w:rPr>
        <w:drawing>
          <wp:anchor distT="0" distB="0" distL="114300" distR="114300" simplePos="0" relativeHeight="251660288" behindDoc="0" locked="0" layoutInCell="1" allowOverlap="1" wp14:anchorId="1CBF1475" wp14:editId="6EF4AEA0">
            <wp:simplePos x="0" y="0"/>
            <wp:positionH relativeFrom="column">
              <wp:posOffset>1276709</wp:posOffset>
            </wp:positionH>
            <wp:positionV relativeFrom="paragraph">
              <wp:posOffset>275219</wp:posOffset>
            </wp:positionV>
            <wp:extent cx="3855085" cy="3768642"/>
            <wp:effectExtent l="0" t="0" r="0" b="3810"/>
            <wp:wrapNone/>
            <wp:docPr id="5" name="Picture 5" descr="https://documents.lucid.app/documents/5a5ec8ef-99ce-4dc2-bcc7-08f30f225f64/pages/0_0?a=10462&amp;x=-1848&amp;y=373&amp;w=624&amp;h=553&amp;store=1&amp;accept=image%2F*&amp;auth=LCA%2036328c3eb93df819ace883b70d46903ff2cae65b-ts%3D161220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lucid.app/documents/5a5ec8ef-99ce-4dc2-bcc7-08f30f225f64/pages/0_0?a=10462&amp;x=-1848&amp;y=373&amp;w=624&amp;h=553&amp;store=1&amp;accept=image%2F*&amp;auth=LCA%2036328c3eb93df819ace883b70d46903ff2cae65b-ts%3D1612202545"/>
                    <pic:cNvPicPr>
                      <a:picLocks noChangeAspect="1" noChangeArrowheads="1"/>
                    </pic:cNvPicPr>
                  </pic:nvPicPr>
                  <pic:blipFill rotWithShape="1">
                    <a:blip r:embed="rId10">
                      <a:extLst>
                        <a:ext uri="{28A0092B-C50C-407E-A947-70E740481C1C}">
                          <a14:useLocalDpi xmlns:a14="http://schemas.microsoft.com/office/drawing/2010/main" val="0"/>
                        </a:ext>
                      </a:extLst>
                    </a:blip>
                    <a:srcRect l="9286" t="4378" r="4250"/>
                    <a:stretch/>
                  </pic:blipFill>
                  <pic:spPr bwMode="auto">
                    <a:xfrm>
                      <a:off x="0" y="0"/>
                      <a:ext cx="3855085" cy="3768642"/>
                    </a:xfrm>
                    <a:prstGeom prst="rect">
                      <a:avLst/>
                    </a:prstGeom>
                    <a:noFill/>
                    <a:ln>
                      <a:noFill/>
                    </a:ln>
                    <a:extLst>
                      <a:ext uri="{53640926-AAD7-44D8-BBD7-CCE9431645EC}">
                        <a14:shadowObscured xmlns:a14="http://schemas.microsoft.com/office/drawing/2010/main"/>
                      </a:ext>
                    </a:extLst>
                  </pic:spPr>
                </pic:pic>
              </a:graphicData>
            </a:graphic>
          </wp:anchor>
        </w:drawing>
      </w:r>
      <w:r>
        <w:rPr>
          <w:b/>
        </w:rPr>
        <w:t>Figure 3</w:t>
      </w:r>
      <w:r w:rsidRPr="002D6EE0">
        <w:rPr>
          <w:b/>
        </w:rPr>
        <w:t xml:space="preserve">.  </w:t>
      </w:r>
      <w:r>
        <w:rPr>
          <w:b/>
        </w:rPr>
        <w:t>Natural history model of late-onset neonatal sepsis</w:t>
      </w:r>
    </w:p>
    <w:p w14:paraId="4C34DD93" w14:textId="7F20CBB1" w:rsidR="005D30A2" w:rsidRPr="00533846" w:rsidRDefault="005D30A2" w:rsidP="005D30A2">
      <w:pPr>
        <w:rPr>
          <w:b/>
          <w:color w:val="FF0000"/>
        </w:rPr>
      </w:pPr>
    </w:p>
    <w:p w14:paraId="32980D2A" w14:textId="66BD56D8" w:rsidR="005D30A2" w:rsidRDefault="005D30A2" w:rsidP="00BD7F21">
      <w:pPr>
        <w:spacing w:line="360" w:lineRule="auto"/>
      </w:pPr>
    </w:p>
    <w:p w14:paraId="08B998DA" w14:textId="5329AAC0" w:rsidR="005D30A2" w:rsidRDefault="005D30A2" w:rsidP="00BD7F21">
      <w:pPr>
        <w:spacing w:line="360" w:lineRule="auto"/>
      </w:pPr>
    </w:p>
    <w:p w14:paraId="00887380" w14:textId="0DC3B09F" w:rsidR="005D30A2" w:rsidRDefault="005D30A2" w:rsidP="00BD7F21">
      <w:pPr>
        <w:spacing w:line="360" w:lineRule="auto"/>
      </w:pPr>
    </w:p>
    <w:p w14:paraId="275B834E" w14:textId="7CC90782" w:rsidR="005D30A2" w:rsidRDefault="005D30A2" w:rsidP="00BD7F21">
      <w:pPr>
        <w:spacing w:line="360" w:lineRule="auto"/>
      </w:pPr>
    </w:p>
    <w:p w14:paraId="47320950" w14:textId="659C26B0" w:rsidR="005D30A2" w:rsidRDefault="005D30A2" w:rsidP="00BD7F21">
      <w:pPr>
        <w:spacing w:line="360" w:lineRule="auto"/>
      </w:pPr>
    </w:p>
    <w:p w14:paraId="32852BF8" w14:textId="39F49080" w:rsidR="005D30A2" w:rsidRDefault="005D30A2" w:rsidP="00BD7F21">
      <w:pPr>
        <w:spacing w:line="360" w:lineRule="auto"/>
      </w:pPr>
    </w:p>
    <w:p w14:paraId="76585C4F" w14:textId="36DA2C6D" w:rsidR="005D30A2" w:rsidRDefault="005D30A2" w:rsidP="00BD7F21">
      <w:pPr>
        <w:spacing w:line="360" w:lineRule="auto"/>
      </w:pPr>
    </w:p>
    <w:p w14:paraId="6AE71076" w14:textId="3D6F67EB" w:rsidR="005D30A2" w:rsidRDefault="005D30A2" w:rsidP="00BD7F21">
      <w:pPr>
        <w:spacing w:line="360" w:lineRule="auto"/>
      </w:pPr>
    </w:p>
    <w:p w14:paraId="19E6CC3B" w14:textId="38D1F6C3" w:rsidR="005D30A2" w:rsidRDefault="005D30A2" w:rsidP="00BD7F21">
      <w:pPr>
        <w:spacing w:line="360" w:lineRule="auto"/>
      </w:pPr>
    </w:p>
    <w:p w14:paraId="158470F9" w14:textId="5CA267B3" w:rsidR="005D30A2" w:rsidRDefault="00E2245B" w:rsidP="00BD7F21">
      <w:pPr>
        <w:spacing w:line="360" w:lineRule="auto"/>
      </w:pPr>
      <w:r>
        <w:lastRenderedPageBreak/>
        <w:t>As mentioned above, we are applying an incidence rate of all-cause late-onset neonatal sepsis for the remaining weeks of the neonatal period. This is currently a placeholder for more detailed work but allows us, for the time being, to replicate incidence, disability and rates of death associated with sepsis in the wider TLO model.</w:t>
      </w:r>
    </w:p>
    <w:p w14:paraId="5E760494" w14:textId="2493EE55" w:rsidR="00294EB6" w:rsidRPr="00294EB6" w:rsidRDefault="00294EB6" w:rsidP="00294EB6">
      <w:pPr>
        <w:spacing w:line="360" w:lineRule="auto"/>
        <w:rPr>
          <w:b/>
          <w:bCs/>
          <w:color w:val="A8D08D" w:themeColor="accent6" w:themeTint="99"/>
        </w:rPr>
      </w:pPr>
      <w:r w:rsidRPr="00294EB6">
        <w:rPr>
          <w:b/>
          <w:bCs/>
          <w:color w:val="A8D08D" w:themeColor="accent6" w:themeTint="99"/>
        </w:rPr>
        <w:t>Disability weights for this model</w:t>
      </w:r>
    </w:p>
    <w:p w14:paraId="5104A86F" w14:textId="5FAFA4FA" w:rsidR="00294EB6" w:rsidRDefault="00294EB6" w:rsidP="00294EB6">
      <w:pPr>
        <w:spacing w:line="360" w:lineRule="auto"/>
      </w:pPr>
      <w:r w:rsidRPr="00E72FEF">
        <w:t>Disability weights for</w:t>
      </w:r>
      <w:r>
        <w:t xml:space="preserve"> maternal and neonatal</w:t>
      </w:r>
      <w:r w:rsidRPr="00E72FEF">
        <w:t xml:space="preserve"> complication</w:t>
      </w:r>
      <w:r>
        <w:t>s</w:t>
      </w:r>
      <w:r w:rsidRPr="00E72FEF">
        <w:t xml:space="preserve"> associated with </w:t>
      </w:r>
      <w:r>
        <w:t>postnatal period</w:t>
      </w:r>
      <w:r w:rsidRPr="00E72FEF">
        <w:t xml:space="preserve"> are </w:t>
      </w:r>
      <w:r>
        <w:t xml:space="preserve">show in </w:t>
      </w:r>
      <w:r w:rsidRPr="00E72FEF">
        <w:t>table</w:t>
      </w:r>
      <w:r>
        <w:t xml:space="preserve"> 2 </w:t>
      </w:r>
      <w:r w:rsidRPr="00E72FEF">
        <w:t xml:space="preserve">and are taken from Salomon </w:t>
      </w:r>
      <w:r>
        <w:t>(2012). We apply the same weights as used within the antenatal, labour and neonatal outcome modules as appropriate. We have highlighted in the table which weights are associated with acute events and which are life-long or until treatment has been received.</w:t>
      </w:r>
    </w:p>
    <w:p w14:paraId="24CD51E1" w14:textId="5FED194B" w:rsidR="00294EB6" w:rsidRDefault="00294EB6" w:rsidP="00294EB6">
      <w:pPr>
        <w:spacing w:line="360" w:lineRule="auto"/>
      </w:pPr>
      <w:r>
        <w:rPr>
          <w:b/>
          <w:bCs/>
          <w:color w:val="767171" w:themeColor="background2" w:themeShade="80"/>
        </w:rPr>
        <w:t>Table 2</w:t>
      </w:r>
      <w:r w:rsidRPr="00F53403">
        <w:rPr>
          <w:b/>
          <w:bCs/>
          <w:color w:val="767171" w:themeColor="background2" w:themeShade="80"/>
        </w:rPr>
        <w:t xml:space="preserve">.  </w:t>
      </w:r>
      <w:r>
        <w:rPr>
          <w:b/>
          <w:bCs/>
          <w:color w:val="767171" w:themeColor="background2" w:themeShade="80"/>
        </w:rPr>
        <w:t>DALY weights</w:t>
      </w:r>
      <w:r w:rsidRPr="00F53403">
        <w:rPr>
          <w:b/>
          <w:bCs/>
          <w:color w:val="767171" w:themeColor="background2" w:themeShade="80"/>
        </w:rPr>
        <w:t xml:space="preserve"> </w:t>
      </w:r>
      <w:r>
        <w:rPr>
          <w:b/>
          <w:bCs/>
          <w:color w:val="767171" w:themeColor="background2" w:themeShade="80"/>
        </w:rPr>
        <w:t>used within this module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2080"/>
      </w:tblGrid>
      <w:tr w:rsidR="00294EB6" w14:paraId="582AC8A3" w14:textId="77777777" w:rsidTr="00A03373">
        <w:tc>
          <w:tcPr>
            <w:tcW w:w="3119" w:type="dxa"/>
            <w:shd w:val="clear" w:color="auto" w:fill="D0CECE" w:themeFill="background2" w:themeFillShade="E6"/>
          </w:tcPr>
          <w:p w14:paraId="57722121" w14:textId="77777777" w:rsidR="00294EB6" w:rsidRPr="000C3D7C" w:rsidRDefault="00294EB6" w:rsidP="000A1504">
            <w:pPr>
              <w:jc w:val="center"/>
            </w:pPr>
            <w:r w:rsidRPr="000C3D7C">
              <w:rPr>
                <w:b/>
                <w:bCs/>
              </w:rPr>
              <w:t>Condition</w:t>
            </w:r>
          </w:p>
        </w:tc>
        <w:tc>
          <w:tcPr>
            <w:tcW w:w="2268" w:type="dxa"/>
            <w:shd w:val="clear" w:color="auto" w:fill="D0CECE" w:themeFill="background2" w:themeFillShade="E6"/>
          </w:tcPr>
          <w:p w14:paraId="506DC7ED" w14:textId="77777777" w:rsidR="00294EB6" w:rsidRPr="00692B90" w:rsidRDefault="00294EB6" w:rsidP="000A1504">
            <w:pPr>
              <w:jc w:val="center"/>
              <w:rPr>
                <w:b/>
                <w:bCs/>
                <w:i/>
              </w:rPr>
            </w:pPr>
            <w:r w:rsidRPr="00692B90">
              <w:rPr>
                <w:b/>
                <w:bCs/>
                <w:i/>
              </w:rPr>
              <w:t>Weight</w:t>
            </w:r>
          </w:p>
        </w:tc>
        <w:tc>
          <w:tcPr>
            <w:tcW w:w="2080" w:type="dxa"/>
            <w:shd w:val="clear" w:color="auto" w:fill="D0CECE" w:themeFill="background2" w:themeFillShade="E6"/>
          </w:tcPr>
          <w:p w14:paraId="1E9BC03E" w14:textId="77777777" w:rsidR="00294EB6" w:rsidRDefault="00294EB6" w:rsidP="000A1504">
            <w:pPr>
              <w:jc w:val="center"/>
              <w:rPr>
                <w:b/>
                <w:bCs/>
              </w:rPr>
            </w:pPr>
            <w:r>
              <w:rPr>
                <w:b/>
                <w:bCs/>
              </w:rPr>
              <w:t>Notes</w:t>
            </w:r>
          </w:p>
        </w:tc>
      </w:tr>
      <w:tr w:rsidR="00294EB6" w:rsidRPr="00531C36" w14:paraId="1B75619D" w14:textId="77777777" w:rsidTr="00A03373">
        <w:trPr>
          <w:trHeight w:val="309"/>
        </w:trPr>
        <w:tc>
          <w:tcPr>
            <w:tcW w:w="3119" w:type="dxa"/>
            <w:shd w:val="clear" w:color="auto" w:fill="F2F2F2" w:themeFill="background1" w:themeFillShade="F2"/>
          </w:tcPr>
          <w:p w14:paraId="4543830A" w14:textId="77777777" w:rsidR="00294EB6" w:rsidRDefault="00A03373" w:rsidP="000A1504">
            <w:pPr>
              <w:rPr>
                <w:sz w:val="20"/>
                <w:szCs w:val="20"/>
              </w:rPr>
            </w:pPr>
            <w:r>
              <w:rPr>
                <w:sz w:val="20"/>
                <w:szCs w:val="20"/>
              </w:rPr>
              <w:t>Moderate maternal haemorrhage</w:t>
            </w:r>
          </w:p>
          <w:p w14:paraId="7C60054E" w14:textId="31F2A8D3" w:rsidR="00A03373" w:rsidRPr="00833F88" w:rsidRDefault="00A03373" w:rsidP="000A1504">
            <w:pPr>
              <w:rPr>
                <w:sz w:val="20"/>
                <w:szCs w:val="20"/>
              </w:rPr>
            </w:pPr>
          </w:p>
        </w:tc>
        <w:tc>
          <w:tcPr>
            <w:tcW w:w="2268" w:type="dxa"/>
          </w:tcPr>
          <w:p w14:paraId="61C76E77" w14:textId="43856AEB" w:rsidR="00294EB6" w:rsidRPr="00833F88" w:rsidRDefault="00A03373" w:rsidP="00A03373">
            <w:pPr>
              <w:jc w:val="center"/>
              <w:rPr>
                <w:sz w:val="20"/>
                <w:szCs w:val="20"/>
              </w:rPr>
            </w:pPr>
            <w:r w:rsidRPr="00833F88">
              <w:rPr>
                <w:sz w:val="20"/>
                <w:szCs w:val="20"/>
              </w:rPr>
              <w:t>0.114 (0.078,0.159)</w:t>
            </w:r>
          </w:p>
        </w:tc>
        <w:tc>
          <w:tcPr>
            <w:tcW w:w="2080" w:type="dxa"/>
            <w:shd w:val="clear" w:color="auto" w:fill="F2F2F2" w:themeFill="background1" w:themeFillShade="F2"/>
          </w:tcPr>
          <w:p w14:paraId="3AE5C2F7" w14:textId="77777777" w:rsidR="00294EB6" w:rsidRPr="00531C36" w:rsidRDefault="00294EB6" w:rsidP="000A1504">
            <w:pPr>
              <w:jc w:val="center"/>
              <w:rPr>
                <w:b/>
                <w:bCs/>
                <w:sz w:val="16"/>
                <w:szCs w:val="20"/>
              </w:rPr>
            </w:pPr>
            <w:r w:rsidRPr="00531C36">
              <w:rPr>
                <w:b/>
                <w:bCs/>
                <w:sz w:val="16"/>
                <w:szCs w:val="20"/>
              </w:rPr>
              <w:t>-</w:t>
            </w:r>
          </w:p>
        </w:tc>
      </w:tr>
      <w:tr w:rsidR="00A03373" w:rsidRPr="00531C36" w14:paraId="1E8CA961" w14:textId="77777777" w:rsidTr="00A03373">
        <w:trPr>
          <w:trHeight w:val="309"/>
        </w:trPr>
        <w:tc>
          <w:tcPr>
            <w:tcW w:w="3119" w:type="dxa"/>
            <w:shd w:val="clear" w:color="auto" w:fill="F2F2F2" w:themeFill="background1" w:themeFillShade="F2"/>
          </w:tcPr>
          <w:p w14:paraId="118838AB" w14:textId="77777777" w:rsidR="00A03373" w:rsidRDefault="00A03373" w:rsidP="000A1504">
            <w:pPr>
              <w:rPr>
                <w:sz w:val="20"/>
                <w:szCs w:val="20"/>
              </w:rPr>
            </w:pPr>
            <w:r>
              <w:rPr>
                <w:sz w:val="20"/>
                <w:szCs w:val="20"/>
              </w:rPr>
              <w:t>Severe maternal haemorrhage</w:t>
            </w:r>
          </w:p>
          <w:p w14:paraId="665F4D2A" w14:textId="092CAA26" w:rsidR="00A03373" w:rsidRDefault="00A03373" w:rsidP="000A1504">
            <w:pPr>
              <w:rPr>
                <w:sz w:val="20"/>
                <w:szCs w:val="20"/>
              </w:rPr>
            </w:pPr>
          </w:p>
        </w:tc>
        <w:tc>
          <w:tcPr>
            <w:tcW w:w="2268" w:type="dxa"/>
          </w:tcPr>
          <w:p w14:paraId="53B3EC67" w14:textId="77777777" w:rsidR="00A03373" w:rsidRDefault="00A03373" w:rsidP="00A03373">
            <w:pPr>
              <w:jc w:val="center"/>
              <w:rPr>
                <w:sz w:val="20"/>
                <w:szCs w:val="20"/>
              </w:rPr>
            </w:pPr>
            <w:r w:rsidRPr="00833F88">
              <w:rPr>
                <w:sz w:val="20"/>
                <w:szCs w:val="20"/>
              </w:rPr>
              <w:t>0.324 (0.22,0.442)</w:t>
            </w:r>
          </w:p>
          <w:p w14:paraId="712023B7" w14:textId="77777777" w:rsidR="00A03373" w:rsidRPr="00833F88" w:rsidRDefault="00A03373" w:rsidP="000A1504">
            <w:pPr>
              <w:jc w:val="center"/>
              <w:rPr>
                <w:sz w:val="20"/>
                <w:szCs w:val="20"/>
              </w:rPr>
            </w:pPr>
          </w:p>
        </w:tc>
        <w:tc>
          <w:tcPr>
            <w:tcW w:w="2080" w:type="dxa"/>
            <w:shd w:val="clear" w:color="auto" w:fill="F2F2F2" w:themeFill="background1" w:themeFillShade="F2"/>
          </w:tcPr>
          <w:p w14:paraId="79070D0D" w14:textId="77777777" w:rsidR="00A03373" w:rsidRPr="00531C36" w:rsidRDefault="00A03373" w:rsidP="000A1504">
            <w:pPr>
              <w:jc w:val="center"/>
              <w:rPr>
                <w:b/>
                <w:bCs/>
                <w:sz w:val="16"/>
                <w:szCs w:val="20"/>
              </w:rPr>
            </w:pPr>
          </w:p>
        </w:tc>
      </w:tr>
      <w:tr w:rsidR="00A03373" w:rsidRPr="00531C36" w14:paraId="64C0B85A" w14:textId="77777777" w:rsidTr="00A03373">
        <w:trPr>
          <w:trHeight w:val="309"/>
        </w:trPr>
        <w:tc>
          <w:tcPr>
            <w:tcW w:w="3119" w:type="dxa"/>
            <w:shd w:val="clear" w:color="auto" w:fill="F2F2F2" w:themeFill="background1" w:themeFillShade="F2"/>
          </w:tcPr>
          <w:p w14:paraId="1C0D7442" w14:textId="77777777" w:rsidR="00A03373" w:rsidRDefault="00A03373" w:rsidP="000A1504">
            <w:pPr>
              <w:rPr>
                <w:sz w:val="20"/>
                <w:szCs w:val="20"/>
              </w:rPr>
            </w:pPr>
            <w:r>
              <w:rPr>
                <w:sz w:val="20"/>
                <w:szCs w:val="20"/>
              </w:rPr>
              <w:t>Maternal sepsis</w:t>
            </w:r>
          </w:p>
          <w:p w14:paraId="43CF7B84" w14:textId="42359121" w:rsidR="00A03373" w:rsidRDefault="00A03373" w:rsidP="000A1504">
            <w:pPr>
              <w:rPr>
                <w:sz w:val="20"/>
                <w:szCs w:val="20"/>
              </w:rPr>
            </w:pPr>
          </w:p>
        </w:tc>
        <w:tc>
          <w:tcPr>
            <w:tcW w:w="2268" w:type="dxa"/>
          </w:tcPr>
          <w:p w14:paraId="61BEBDE4" w14:textId="77777777" w:rsidR="00A03373" w:rsidRDefault="00A03373" w:rsidP="00A03373">
            <w:pPr>
              <w:jc w:val="center"/>
              <w:rPr>
                <w:sz w:val="20"/>
                <w:szCs w:val="20"/>
              </w:rPr>
            </w:pPr>
            <w:r w:rsidRPr="00833F88">
              <w:rPr>
                <w:sz w:val="20"/>
                <w:szCs w:val="20"/>
              </w:rPr>
              <w:t>0.133 (0.088,0.19)</w:t>
            </w:r>
          </w:p>
          <w:p w14:paraId="09C2500C" w14:textId="77777777" w:rsidR="00A03373" w:rsidRPr="00833F88" w:rsidRDefault="00A03373" w:rsidP="000A1504">
            <w:pPr>
              <w:jc w:val="center"/>
              <w:rPr>
                <w:sz w:val="20"/>
                <w:szCs w:val="20"/>
              </w:rPr>
            </w:pPr>
          </w:p>
        </w:tc>
        <w:tc>
          <w:tcPr>
            <w:tcW w:w="2080" w:type="dxa"/>
            <w:shd w:val="clear" w:color="auto" w:fill="F2F2F2" w:themeFill="background1" w:themeFillShade="F2"/>
          </w:tcPr>
          <w:p w14:paraId="7E858EB5" w14:textId="77777777" w:rsidR="00A03373" w:rsidRPr="00531C36" w:rsidRDefault="00A03373" w:rsidP="000A1504">
            <w:pPr>
              <w:jc w:val="center"/>
              <w:rPr>
                <w:b/>
                <w:bCs/>
                <w:sz w:val="16"/>
                <w:szCs w:val="20"/>
              </w:rPr>
            </w:pPr>
          </w:p>
        </w:tc>
      </w:tr>
      <w:tr w:rsidR="00A03373" w:rsidRPr="00531C36" w14:paraId="0D5BA6AB" w14:textId="77777777" w:rsidTr="00A03373">
        <w:trPr>
          <w:trHeight w:val="309"/>
        </w:trPr>
        <w:tc>
          <w:tcPr>
            <w:tcW w:w="3119" w:type="dxa"/>
            <w:shd w:val="clear" w:color="auto" w:fill="F2F2F2" w:themeFill="background1" w:themeFillShade="F2"/>
          </w:tcPr>
          <w:p w14:paraId="24682B3F" w14:textId="4B31D693" w:rsidR="00A03373" w:rsidRDefault="00A03373" w:rsidP="000A1504">
            <w:pPr>
              <w:rPr>
                <w:sz w:val="20"/>
                <w:szCs w:val="20"/>
              </w:rPr>
            </w:pPr>
            <w:r>
              <w:rPr>
                <w:sz w:val="20"/>
                <w:szCs w:val="20"/>
              </w:rPr>
              <w:t>Vesicovaginal fistula</w:t>
            </w:r>
          </w:p>
        </w:tc>
        <w:tc>
          <w:tcPr>
            <w:tcW w:w="2268" w:type="dxa"/>
          </w:tcPr>
          <w:p w14:paraId="33F86F03" w14:textId="52FF2C33" w:rsidR="00A03373" w:rsidRPr="00A03373" w:rsidRDefault="00A03373" w:rsidP="00A03373">
            <w:pPr>
              <w:jc w:val="center"/>
              <w:rPr>
                <w:sz w:val="20"/>
                <w:szCs w:val="20"/>
              </w:rPr>
            </w:pPr>
            <w:r w:rsidRPr="00A03373">
              <w:rPr>
                <w:sz w:val="20"/>
                <w:szCs w:val="20"/>
              </w:rPr>
              <w:t>0.342</w:t>
            </w:r>
            <w:r>
              <w:rPr>
                <w:sz w:val="20"/>
                <w:szCs w:val="20"/>
              </w:rPr>
              <w:t xml:space="preserve"> (</w:t>
            </w:r>
            <w:r w:rsidRPr="00A03373">
              <w:rPr>
                <w:sz w:val="20"/>
                <w:szCs w:val="20"/>
              </w:rPr>
              <w:t>0.227,0.478</w:t>
            </w:r>
            <w:r>
              <w:rPr>
                <w:sz w:val="20"/>
                <w:szCs w:val="20"/>
              </w:rPr>
              <w:t>)</w:t>
            </w:r>
          </w:p>
          <w:p w14:paraId="4B4FCC6E" w14:textId="77777777" w:rsidR="00A03373" w:rsidRPr="00833F88" w:rsidRDefault="00A03373" w:rsidP="00A03373">
            <w:pPr>
              <w:jc w:val="center"/>
              <w:rPr>
                <w:sz w:val="20"/>
                <w:szCs w:val="20"/>
              </w:rPr>
            </w:pPr>
          </w:p>
        </w:tc>
        <w:tc>
          <w:tcPr>
            <w:tcW w:w="2080" w:type="dxa"/>
            <w:shd w:val="clear" w:color="auto" w:fill="F2F2F2" w:themeFill="background1" w:themeFillShade="F2"/>
          </w:tcPr>
          <w:p w14:paraId="4F6268CF" w14:textId="77777777" w:rsidR="00A03373" w:rsidRPr="00531C36" w:rsidRDefault="00A03373" w:rsidP="000A1504">
            <w:pPr>
              <w:jc w:val="center"/>
              <w:rPr>
                <w:b/>
                <w:bCs/>
                <w:sz w:val="16"/>
                <w:szCs w:val="20"/>
              </w:rPr>
            </w:pPr>
          </w:p>
        </w:tc>
      </w:tr>
      <w:tr w:rsidR="00A03373" w:rsidRPr="00531C36" w14:paraId="77CA81E4" w14:textId="77777777" w:rsidTr="00A03373">
        <w:trPr>
          <w:trHeight w:val="309"/>
        </w:trPr>
        <w:tc>
          <w:tcPr>
            <w:tcW w:w="3119" w:type="dxa"/>
            <w:shd w:val="clear" w:color="auto" w:fill="F2F2F2" w:themeFill="background1" w:themeFillShade="F2"/>
          </w:tcPr>
          <w:p w14:paraId="5E280594" w14:textId="1D561FF8" w:rsidR="00A03373" w:rsidRDefault="00A03373" w:rsidP="000A1504">
            <w:pPr>
              <w:rPr>
                <w:sz w:val="20"/>
                <w:szCs w:val="20"/>
              </w:rPr>
            </w:pPr>
            <w:r>
              <w:rPr>
                <w:sz w:val="20"/>
                <w:szCs w:val="20"/>
              </w:rPr>
              <w:t>Rectovaginal fistula</w:t>
            </w:r>
          </w:p>
        </w:tc>
        <w:tc>
          <w:tcPr>
            <w:tcW w:w="2268" w:type="dxa"/>
          </w:tcPr>
          <w:p w14:paraId="28B91188" w14:textId="3FFD2FD3" w:rsidR="00A03373" w:rsidRPr="00A03373" w:rsidRDefault="00A03373" w:rsidP="00A03373">
            <w:pPr>
              <w:jc w:val="center"/>
              <w:rPr>
                <w:sz w:val="20"/>
                <w:szCs w:val="20"/>
              </w:rPr>
            </w:pPr>
            <w:r w:rsidRPr="00A03373">
              <w:rPr>
                <w:sz w:val="20"/>
                <w:szCs w:val="20"/>
              </w:rPr>
              <w:t>0.501</w:t>
            </w:r>
            <w:r>
              <w:rPr>
                <w:sz w:val="20"/>
                <w:szCs w:val="20"/>
              </w:rPr>
              <w:t xml:space="preserve"> (</w:t>
            </w:r>
            <w:r w:rsidRPr="00A03373">
              <w:rPr>
                <w:sz w:val="20"/>
                <w:szCs w:val="20"/>
              </w:rPr>
              <w:t>0.339,0.657</w:t>
            </w:r>
            <w:r>
              <w:rPr>
                <w:sz w:val="20"/>
                <w:szCs w:val="20"/>
              </w:rPr>
              <w:t>)</w:t>
            </w:r>
          </w:p>
          <w:p w14:paraId="406AE618" w14:textId="77777777" w:rsidR="00A03373" w:rsidRPr="00833F88" w:rsidRDefault="00A03373" w:rsidP="00A03373">
            <w:pPr>
              <w:jc w:val="center"/>
              <w:rPr>
                <w:sz w:val="20"/>
                <w:szCs w:val="20"/>
              </w:rPr>
            </w:pPr>
          </w:p>
        </w:tc>
        <w:tc>
          <w:tcPr>
            <w:tcW w:w="2080" w:type="dxa"/>
            <w:shd w:val="clear" w:color="auto" w:fill="F2F2F2" w:themeFill="background1" w:themeFillShade="F2"/>
          </w:tcPr>
          <w:p w14:paraId="6009ECB3" w14:textId="77777777" w:rsidR="00A03373" w:rsidRPr="00531C36" w:rsidRDefault="00A03373" w:rsidP="000A1504">
            <w:pPr>
              <w:jc w:val="center"/>
              <w:rPr>
                <w:b/>
                <w:bCs/>
                <w:sz w:val="16"/>
                <w:szCs w:val="20"/>
              </w:rPr>
            </w:pPr>
          </w:p>
        </w:tc>
      </w:tr>
      <w:tr w:rsidR="00A03373" w:rsidRPr="00531C36" w14:paraId="1BFD52C1" w14:textId="77777777" w:rsidTr="00A03373">
        <w:trPr>
          <w:trHeight w:val="309"/>
        </w:trPr>
        <w:tc>
          <w:tcPr>
            <w:tcW w:w="3119" w:type="dxa"/>
            <w:shd w:val="clear" w:color="auto" w:fill="F2F2F2" w:themeFill="background1" w:themeFillShade="F2"/>
          </w:tcPr>
          <w:p w14:paraId="24790394" w14:textId="79D2C9D8" w:rsidR="00A03373" w:rsidRDefault="00A03373" w:rsidP="000A1504">
            <w:pPr>
              <w:rPr>
                <w:sz w:val="20"/>
                <w:szCs w:val="20"/>
              </w:rPr>
            </w:pPr>
            <w:r>
              <w:rPr>
                <w:sz w:val="20"/>
                <w:szCs w:val="20"/>
              </w:rPr>
              <w:t>Mild maternal anaemia</w:t>
            </w:r>
          </w:p>
        </w:tc>
        <w:tc>
          <w:tcPr>
            <w:tcW w:w="2268" w:type="dxa"/>
          </w:tcPr>
          <w:p w14:paraId="73CAEEAB" w14:textId="77777777" w:rsidR="00A03373" w:rsidRDefault="00A03373" w:rsidP="00A03373">
            <w:pPr>
              <w:jc w:val="center"/>
              <w:rPr>
                <w:sz w:val="20"/>
                <w:szCs w:val="20"/>
              </w:rPr>
            </w:pPr>
            <w:r w:rsidRPr="00A03373">
              <w:rPr>
                <w:sz w:val="20"/>
                <w:szCs w:val="20"/>
              </w:rPr>
              <w:t>0.004</w:t>
            </w:r>
            <w:r>
              <w:rPr>
                <w:sz w:val="20"/>
                <w:szCs w:val="20"/>
              </w:rPr>
              <w:t xml:space="preserve"> (</w:t>
            </w:r>
            <w:r w:rsidRPr="00A03373">
              <w:rPr>
                <w:sz w:val="20"/>
                <w:szCs w:val="20"/>
              </w:rPr>
              <w:t>0.001,0.008</w:t>
            </w:r>
            <w:r>
              <w:rPr>
                <w:sz w:val="20"/>
                <w:szCs w:val="20"/>
              </w:rPr>
              <w:t>)</w:t>
            </w:r>
          </w:p>
          <w:p w14:paraId="518B0EB8" w14:textId="6871E0D3" w:rsidR="00A03373" w:rsidRPr="00833F88" w:rsidRDefault="00A03373" w:rsidP="00A03373">
            <w:pPr>
              <w:jc w:val="center"/>
              <w:rPr>
                <w:sz w:val="20"/>
                <w:szCs w:val="20"/>
              </w:rPr>
            </w:pPr>
          </w:p>
        </w:tc>
        <w:tc>
          <w:tcPr>
            <w:tcW w:w="2080" w:type="dxa"/>
            <w:shd w:val="clear" w:color="auto" w:fill="F2F2F2" w:themeFill="background1" w:themeFillShade="F2"/>
          </w:tcPr>
          <w:p w14:paraId="5EC08D65" w14:textId="77777777" w:rsidR="00A03373" w:rsidRPr="00531C36" w:rsidRDefault="00A03373" w:rsidP="000A1504">
            <w:pPr>
              <w:jc w:val="center"/>
              <w:rPr>
                <w:b/>
                <w:bCs/>
                <w:sz w:val="16"/>
                <w:szCs w:val="20"/>
              </w:rPr>
            </w:pPr>
          </w:p>
        </w:tc>
      </w:tr>
      <w:tr w:rsidR="00A03373" w:rsidRPr="00531C36" w14:paraId="654CF7B2" w14:textId="77777777" w:rsidTr="00A03373">
        <w:trPr>
          <w:trHeight w:val="309"/>
        </w:trPr>
        <w:tc>
          <w:tcPr>
            <w:tcW w:w="3119" w:type="dxa"/>
            <w:shd w:val="clear" w:color="auto" w:fill="F2F2F2" w:themeFill="background1" w:themeFillShade="F2"/>
          </w:tcPr>
          <w:p w14:paraId="473BA388" w14:textId="49424059" w:rsidR="00A03373" w:rsidRDefault="00A03373" w:rsidP="000A1504">
            <w:pPr>
              <w:rPr>
                <w:sz w:val="20"/>
                <w:szCs w:val="20"/>
              </w:rPr>
            </w:pPr>
            <w:r>
              <w:rPr>
                <w:sz w:val="20"/>
                <w:szCs w:val="20"/>
              </w:rPr>
              <w:t>Moderate maternal anaemia</w:t>
            </w:r>
          </w:p>
        </w:tc>
        <w:tc>
          <w:tcPr>
            <w:tcW w:w="2268" w:type="dxa"/>
          </w:tcPr>
          <w:p w14:paraId="476ECE32" w14:textId="4B33052A" w:rsidR="00A03373" w:rsidRPr="00A03373" w:rsidRDefault="00A03373" w:rsidP="00A03373">
            <w:pPr>
              <w:jc w:val="center"/>
              <w:rPr>
                <w:sz w:val="20"/>
                <w:szCs w:val="20"/>
              </w:rPr>
            </w:pPr>
            <w:r w:rsidRPr="00A03373">
              <w:rPr>
                <w:sz w:val="20"/>
                <w:szCs w:val="20"/>
              </w:rPr>
              <w:t>0.052</w:t>
            </w:r>
            <w:r>
              <w:rPr>
                <w:sz w:val="20"/>
                <w:szCs w:val="20"/>
              </w:rPr>
              <w:t xml:space="preserve"> (</w:t>
            </w:r>
            <w:r w:rsidRPr="00A03373">
              <w:rPr>
                <w:sz w:val="20"/>
                <w:szCs w:val="20"/>
              </w:rPr>
              <w:t>0.034,0.076</w:t>
            </w:r>
            <w:r>
              <w:rPr>
                <w:sz w:val="20"/>
                <w:szCs w:val="20"/>
              </w:rPr>
              <w:t>)</w:t>
            </w:r>
          </w:p>
          <w:p w14:paraId="55FD735E" w14:textId="77777777" w:rsidR="00A03373" w:rsidRPr="00833F88" w:rsidRDefault="00A03373" w:rsidP="00A03373">
            <w:pPr>
              <w:jc w:val="center"/>
              <w:rPr>
                <w:sz w:val="20"/>
                <w:szCs w:val="20"/>
              </w:rPr>
            </w:pPr>
          </w:p>
        </w:tc>
        <w:tc>
          <w:tcPr>
            <w:tcW w:w="2080" w:type="dxa"/>
            <w:shd w:val="clear" w:color="auto" w:fill="F2F2F2" w:themeFill="background1" w:themeFillShade="F2"/>
          </w:tcPr>
          <w:p w14:paraId="773FCA9E" w14:textId="77777777" w:rsidR="00A03373" w:rsidRPr="00531C36" w:rsidRDefault="00A03373" w:rsidP="000A1504">
            <w:pPr>
              <w:jc w:val="center"/>
              <w:rPr>
                <w:b/>
                <w:bCs/>
                <w:sz w:val="16"/>
                <w:szCs w:val="20"/>
              </w:rPr>
            </w:pPr>
          </w:p>
        </w:tc>
      </w:tr>
      <w:tr w:rsidR="00A03373" w:rsidRPr="00531C36" w14:paraId="6FE75862" w14:textId="77777777" w:rsidTr="00A03373">
        <w:trPr>
          <w:trHeight w:val="309"/>
        </w:trPr>
        <w:tc>
          <w:tcPr>
            <w:tcW w:w="3119" w:type="dxa"/>
            <w:shd w:val="clear" w:color="auto" w:fill="F2F2F2" w:themeFill="background1" w:themeFillShade="F2"/>
          </w:tcPr>
          <w:p w14:paraId="5686B1AD" w14:textId="66B162E6" w:rsidR="00A03373" w:rsidRDefault="00A03373" w:rsidP="000A1504">
            <w:pPr>
              <w:rPr>
                <w:sz w:val="20"/>
                <w:szCs w:val="20"/>
              </w:rPr>
            </w:pPr>
            <w:r>
              <w:rPr>
                <w:sz w:val="20"/>
                <w:szCs w:val="20"/>
              </w:rPr>
              <w:t>Severe maternal anaemia</w:t>
            </w:r>
          </w:p>
        </w:tc>
        <w:tc>
          <w:tcPr>
            <w:tcW w:w="2268" w:type="dxa"/>
          </w:tcPr>
          <w:p w14:paraId="4D25ED7B" w14:textId="65CB3CF0" w:rsidR="00A03373" w:rsidRPr="00A03373" w:rsidRDefault="00A03373" w:rsidP="00A03373">
            <w:pPr>
              <w:jc w:val="center"/>
              <w:rPr>
                <w:sz w:val="20"/>
                <w:szCs w:val="20"/>
              </w:rPr>
            </w:pPr>
            <w:r w:rsidRPr="00A03373">
              <w:rPr>
                <w:sz w:val="20"/>
                <w:szCs w:val="20"/>
              </w:rPr>
              <w:t>0.149</w:t>
            </w:r>
            <w:r>
              <w:rPr>
                <w:sz w:val="20"/>
                <w:szCs w:val="20"/>
              </w:rPr>
              <w:t xml:space="preserve"> (</w:t>
            </w:r>
            <w:r w:rsidRPr="00A03373">
              <w:rPr>
                <w:sz w:val="20"/>
                <w:szCs w:val="20"/>
              </w:rPr>
              <w:t>0.101,0.209</w:t>
            </w:r>
            <w:r>
              <w:rPr>
                <w:sz w:val="20"/>
                <w:szCs w:val="20"/>
              </w:rPr>
              <w:t>)</w:t>
            </w:r>
          </w:p>
          <w:p w14:paraId="085B2AC5" w14:textId="77777777" w:rsidR="00A03373" w:rsidRPr="00833F88" w:rsidRDefault="00A03373" w:rsidP="00A03373">
            <w:pPr>
              <w:jc w:val="center"/>
              <w:rPr>
                <w:sz w:val="20"/>
                <w:szCs w:val="20"/>
              </w:rPr>
            </w:pPr>
          </w:p>
        </w:tc>
        <w:tc>
          <w:tcPr>
            <w:tcW w:w="2080" w:type="dxa"/>
            <w:shd w:val="clear" w:color="auto" w:fill="F2F2F2" w:themeFill="background1" w:themeFillShade="F2"/>
          </w:tcPr>
          <w:p w14:paraId="2C8470C7" w14:textId="77777777" w:rsidR="00A03373" w:rsidRPr="00531C36" w:rsidRDefault="00A03373" w:rsidP="000A1504">
            <w:pPr>
              <w:jc w:val="center"/>
              <w:rPr>
                <w:b/>
                <w:bCs/>
                <w:sz w:val="16"/>
                <w:szCs w:val="20"/>
              </w:rPr>
            </w:pPr>
          </w:p>
        </w:tc>
      </w:tr>
      <w:tr w:rsidR="00A03373" w:rsidRPr="00531C36" w14:paraId="7F7CF2EA" w14:textId="77777777" w:rsidTr="00A03373">
        <w:trPr>
          <w:trHeight w:val="309"/>
        </w:trPr>
        <w:tc>
          <w:tcPr>
            <w:tcW w:w="3119" w:type="dxa"/>
            <w:shd w:val="clear" w:color="auto" w:fill="F2F2F2" w:themeFill="background1" w:themeFillShade="F2"/>
          </w:tcPr>
          <w:p w14:paraId="19B733B6" w14:textId="7D8483B5" w:rsidR="00A03373" w:rsidRDefault="00A03373" w:rsidP="000A1504">
            <w:pPr>
              <w:rPr>
                <w:sz w:val="20"/>
                <w:szCs w:val="20"/>
              </w:rPr>
            </w:pPr>
            <w:r>
              <w:rPr>
                <w:sz w:val="20"/>
                <w:szCs w:val="20"/>
              </w:rPr>
              <w:t>Mild maternal hypertension</w:t>
            </w:r>
          </w:p>
        </w:tc>
        <w:tc>
          <w:tcPr>
            <w:tcW w:w="2268" w:type="dxa"/>
          </w:tcPr>
          <w:p w14:paraId="22212CBE" w14:textId="26C51616" w:rsidR="00A03373" w:rsidRPr="00A03373" w:rsidRDefault="00A03373" w:rsidP="00A03373">
            <w:pPr>
              <w:jc w:val="center"/>
              <w:rPr>
                <w:sz w:val="20"/>
                <w:szCs w:val="20"/>
              </w:rPr>
            </w:pPr>
            <w:r w:rsidRPr="00A03373">
              <w:rPr>
                <w:sz w:val="20"/>
                <w:szCs w:val="20"/>
              </w:rPr>
              <w:t>0.049</w:t>
            </w:r>
            <w:r>
              <w:rPr>
                <w:sz w:val="20"/>
                <w:szCs w:val="20"/>
              </w:rPr>
              <w:t xml:space="preserve"> (</w:t>
            </w:r>
            <w:r w:rsidRPr="00A03373">
              <w:rPr>
                <w:sz w:val="20"/>
                <w:szCs w:val="20"/>
              </w:rPr>
              <w:t>0.031,0.072</w:t>
            </w:r>
            <w:r>
              <w:rPr>
                <w:sz w:val="20"/>
                <w:szCs w:val="20"/>
              </w:rPr>
              <w:t>)</w:t>
            </w:r>
          </w:p>
          <w:p w14:paraId="24477D5F" w14:textId="77777777" w:rsidR="00A03373" w:rsidRPr="00833F88" w:rsidRDefault="00A03373" w:rsidP="00A03373">
            <w:pPr>
              <w:jc w:val="center"/>
              <w:rPr>
                <w:sz w:val="20"/>
                <w:szCs w:val="20"/>
              </w:rPr>
            </w:pPr>
          </w:p>
        </w:tc>
        <w:tc>
          <w:tcPr>
            <w:tcW w:w="2080" w:type="dxa"/>
            <w:shd w:val="clear" w:color="auto" w:fill="F2F2F2" w:themeFill="background1" w:themeFillShade="F2"/>
          </w:tcPr>
          <w:p w14:paraId="65A17E73" w14:textId="77777777" w:rsidR="00A03373" w:rsidRPr="00531C36" w:rsidRDefault="00A03373" w:rsidP="000A1504">
            <w:pPr>
              <w:jc w:val="center"/>
              <w:rPr>
                <w:b/>
                <w:bCs/>
                <w:sz w:val="16"/>
                <w:szCs w:val="20"/>
              </w:rPr>
            </w:pPr>
          </w:p>
        </w:tc>
      </w:tr>
      <w:tr w:rsidR="00A03373" w:rsidRPr="00531C36" w14:paraId="57B4A915" w14:textId="77777777" w:rsidTr="00A03373">
        <w:trPr>
          <w:trHeight w:val="309"/>
        </w:trPr>
        <w:tc>
          <w:tcPr>
            <w:tcW w:w="3119" w:type="dxa"/>
            <w:shd w:val="clear" w:color="auto" w:fill="F2F2F2" w:themeFill="background1" w:themeFillShade="F2"/>
          </w:tcPr>
          <w:p w14:paraId="41151A1D" w14:textId="77777777" w:rsidR="00A03373" w:rsidRPr="00EA3435" w:rsidRDefault="00A03373" w:rsidP="00A03373">
            <w:pPr>
              <w:rPr>
                <w:sz w:val="20"/>
                <w:szCs w:val="18"/>
              </w:rPr>
            </w:pPr>
            <w:r w:rsidRPr="00EA3435">
              <w:rPr>
                <w:sz w:val="20"/>
                <w:szCs w:val="18"/>
              </w:rPr>
              <w:t xml:space="preserve">Mild motor impairment due to neonatal sepsis and other neonatal infections </w:t>
            </w:r>
          </w:p>
          <w:p w14:paraId="60FDF9F7" w14:textId="77777777" w:rsidR="00A03373" w:rsidRPr="00EA3435" w:rsidRDefault="00A03373" w:rsidP="00A03373">
            <w:pPr>
              <w:rPr>
                <w:sz w:val="20"/>
                <w:szCs w:val="20"/>
              </w:rPr>
            </w:pPr>
          </w:p>
        </w:tc>
        <w:tc>
          <w:tcPr>
            <w:tcW w:w="2268" w:type="dxa"/>
          </w:tcPr>
          <w:p w14:paraId="0A6B6FA5" w14:textId="09B2F7A0" w:rsidR="00A03373" w:rsidRPr="00EA3435" w:rsidRDefault="00A03373" w:rsidP="00A03373">
            <w:pPr>
              <w:jc w:val="center"/>
              <w:rPr>
                <w:sz w:val="20"/>
                <w:szCs w:val="20"/>
              </w:rPr>
            </w:pPr>
            <w:r w:rsidRPr="00EA3435">
              <w:rPr>
                <w:sz w:val="20"/>
                <w:szCs w:val="18"/>
              </w:rPr>
              <w:t>0.01,0.005,0.019</w:t>
            </w:r>
          </w:p>
        </w:tc>
        <w:tc>
          <w:tcPr>
            <w:tcW w:w="2080" w:type="dxa"/>
            <w:shd w:val="clear" w:color="auto" w:fill="F2F2F2" w:themeFill="background1" w:themeFillShade="F2"/>
          </w:tcPr>
          <w:p w14:paraId="56A6CA88" w14:textId="77777777" w:rsidR="00A03373" w:rsidRPr="00531C36" w:rsidRDefault="00A03373" w:rsidP="00A03373">
            <w:pPr>
              <w:jc w:val="center"/>
              <w:rPr>
                <w:b/>
                <w:bCs/>
                <w:sz w:val="16"/>
                <w:szCs w:val="20"/>
              </w:rPr>
            </w:pPr>
          </w:p>
        </w:tc>
      </w:tr>
      <w:tr w:rsidR="00A03373" w:rsidRPr="00531C36" w14:paraId="52743E6C" w14:textId="77777777" w:rsidTr="00A03373">
        <w:trPr>
          <w:trHeight w:val="309"/>
        </w:trPr>
        <w:tc>
          <w:tcPr>
            <w:tcW w:w="3119" w:type="dxa"/>
            <w:shd w:val="clear" w:color="auto" w:fill="F2F2F2" w:themeFill="background1" w:themeFillShade="F2"/>
          </w:tcPr>
          <w:p w14:paraId="6197911E" w14:textId="77777777" w:rsidR="00A03373" w:rsidRPr="00EA3435" w:rsidRDefault="00A03373" w:rsidP="00A03373">
            <w:pPr>
              <w:rPr>
                <w:sz w:val="20"/>
                <w:szCs w:val="18"/>
              </w:rPr>
            </w:pPr>
            <w:r w:rsidRPr="00EA3435">
              <w:rPr>
                <w:sz w:val="20"/>
                <w:szCs w:val="18"/>
              </w:rPr>
              <w:t xml:space="preserve">Moderate motor impairment due to neonatal sepsis and other neonatal infections </w:t>
            </w:r>
          </w:p>
          <w:p w14:paraId="2CB1F46F" w14:textId="77777777" w:rsidR="00A03373" w:rsidRPr="00EA3435" w:rsidRDefault="00A03373" w:rsidP="00A03373">
            <w:pPr>
              <w:rPr>
                <w:sz w:val="20"/>
                <w:szCs w:val="20"/>
              </w:rPr>
            </w:pPr>
          </w:p>
        </w:tc>
        <w:tc>
          <w:tcPr>
            <w:tcW w:w="2268" w:type="dxa"/>
          </w:tcPr>
          <w:p w14:paraId="41FB178C" w14:textId="31D2629C" w:rsidR="00A03373" w:rsidRPr="00EA3435" w:rsidRDefault="00A03373" w:rsidP="00A03373">
            <w:pPr>
              <w:jc w:val="center"/>
              <w:rPr>
                <w:sz w:val="20"/>
                <w:szCs w:val="20"/>
              </w:rPr>
            </w:pPr>
            <w:r w:rsidRPr="00EA3435">
              <w:rPr>
                <w:sz w:val="20"/>
                <w:szCs w:val="18"/>
              </w:rPr>
              <w:t>0.061,0.04,0.089</w:t>
            </w:r>
          </w:p>
        </w:tc>
        <w:tc>
          <w:tcPr>
            <w:tcW w:w="2080" w:type="dxa"/>
            <w:shd w:val="clear" w:color="auto" w:fill="F2F2F2" w:themeFill="background1" w:themeFillShade="F2"/>
          </w:tcPr>
          <w:p w14:paraId="58C32BCD" w14:textId="77777777" w:rsidR="00A03373" w:rsidRPr="00531C36" w:rsidRDefault="00A03373" w:rsidP="00A03373">
            <w:pPr>
              <w:jc w:val="center"/>
              <w:rPr>
                <w:b/>
                <w:bCs/>
                <w:sz w:val="16"/>
                <w:szCs w:val="20"/>
              </w:rPr>
            </w:pPr>
          </w:p>
        </w:tc>
      </w:tr>
      <w:tr w:rsidR="00A03373" w:rsidRPr="00531C36" w14:paraId="40671E83" w14:textId="77777777" w:rsidTr="00A03373">
        <w:trPr>
          <w:trHeight w:val="309"/>
        </w:trPr>
        <w:tc>
          <w:tcPr>
            <w:tcW w:w="3119" w:type="dxa"/>
            <w:shd w:val="clear" w:color="auto" w:fill="F2F2F2" w:themeFill="background1" w:themeFillShade="F2"/>
          </w:tcPr>
          <w:p w14:paraId="0EA709C9" w14:textId="77777777" w:rsidR="00A03373" w:rsidRPr="00EA3435" w:rsidRDefault="00A03373" w:rsidP="00A03373">
            <w:pPr>
              <w:rPr>
                <w:sz w:val="20"/>
                <w:szCs w:val="18"/>
              </w:rPr>
            </w:pPr>
            <w:r w:rsidRPr="00EA3435">
              <w:rPr>
                <w:sz w:val="20"/>
                <w:szCs w:val="18"/>
              </w:rPr>
              <w:t xml:space="preserve">Severe motor impairment due to neonatal sepsis and other neonatal </w:t>
            </w:r>
          </w:p>
          <w:p w14:paraId="0AFAFA97" w14:textId="77777777" w:rsidR="00A03373" w:rsidRPr="00EA3435" w:rsidRDefault="00A03373" w:rsidP="00A03373">
            <w:pPr>
              <w:rPr>
                <w:sz w:val="20"/>
                <w:szCs w:val="20"/>
              </w:rPr>
            </w:pPr>
          </w:p>
        </w:tc>
        <w:tc>
          <w:tcPr>
            <w:tcW w:w="2268" w:type="dxa"/>
          </w:tcPr>
          <w:p w14:paraId="596C18B1" w14:textId="6F1DB7F6" w:rsidR="00A03373" w:rsidRPr="00EA3435" w:rsidRDefault="00A03373" w:rsidP="00A03373">
            <w:pPr>
              <w:jc w:val="center"/>
              <w:rPr>
                <w:sz w:val="20"/>
                <w:szCs w:val="20"/>
              </w:rPr>
            </w:pPr>
            <w:r w:rsidRPr="00EA3435">
              <w:rPr>
                <w:sz w:val="20"/>
                <w:szCs w:val="18"/>
              </w:rPr>
              <w:t>0.402,0.268,0.545</w:t>
            </w:r>
          </w:p>
        </w:tc>
        <w:tc>
          <w:tcPr>
            <w:tcW w:w="2080" w:type="dxa"/>
            <w:shd w:val="clear" w:color="auto" w:fill="F2F2F2" w:themeFill="background1" w:themeFillShade="F2"/>
          </w:tcPr>
          <w:p w14:paraId="22FC3417" w14:textId="77777777" w:rsidR="00A03373" w:rsidRPr="00531C36" w:rsidRDefault="00A03373" w:rsidP="00A03373">
            <w:pPr>
              <w:jc w:val="center"/>
              <w:rPr>
                <w:b/>
                <w:bCs/>
                <w:sz w:val="16"/>
                <w:szCs w:val="20"/>
              </w:rPr>
            </w:pPr>
          </w:p>
        </w:tc>
      </w:tr>
      <w:tr w:rsidR="00A03373" w:rsidRPr="00531C36" w14:paraId="62D8E578" w14:textId="77777777" w:rsidTr="00A03373">
        <w:trPr>
          <w:trHeight w:val="309"/>
        </w:trPr>
        <w:tc>
          <w:tcPr>
            <w:tcW w:w="3119" w:type="dxa"/>
            <w:shd w:val="clear" w:color="auto" w:fill="F2F2F2" w:themeFill="background1" w:themeFillShade="F2"/>
          </w:tcPr>
          <w:p w14:paraId="392F2E59" w14:textId="77777777" w:rsidR="00A03373" w:rsidRPr="00EA3435" w:rsidRDefault="00A03373" w:rsidP="00A03373">
            <w:pPr>
              <w:rPr>
                <w:sz w:val="20"/>
                <w:szCs w:val="18"/>
              </w:rPr>
            </w:pPr>
            <w:r w:rsidRPr="00EA3435">
              <w:rPr>
                <w:sz w:val="20"/>
                <w:szCs w:val="18"/>
              </w:rPr>
              <w:t xml:space="preserve">Severe infection due to neonatal sepsis and other neonatal infections </w:t>
            </w:r>
          </w:p>
          <w:p w14:paraId="6BF03A6F" w14:textId="77777777" w:rsidR="00A03373" w:rsidRPr="00EA3435" w:rsidRDefault="00A03373" w:rsidP="00A03373">
            <w:pPr>
              <w:rPr>
                <w:sz w:val="20"/>
                <w:szCs w:val="20"/>
              </w:rPr>
            </w:pPr>
          </w:p>
        </w:tc>
        <w:tc>
          <w:tcPr>
            <w:tcW w:w="2268" w:type="dxa"/>
          </w:tcPr>
          <w:p w14:paraId="79FE9D5F" w14:textId="62274888" w:rsidR="00A03373" w:rsidRPr="00EA3435" w:rsidRDefault="00A03373" w:rsidP="00A03373">
            <w:pPr>
              <w:jc w:val="center"/>
              <w:rPr>
                <w:sz w:val="20"/>
                <w:szCs w:val="20"/>
              </w:rPr>
            </w:pPr>
            <w:r w:rsidRPr="00EA3435">
              <w:rPr>
                <w:sz w:val="20"/>
                <w:szCs w:val="18"/>
              </w:rPr>
              <w:t>0.133,0.088,0.19</w:t>
            </w:r>
          </w:p>
        </w:tc>
        <w:tc>
          <w:tcPr>
            <w:tcW w:w="2080" w:type="dxa"/>
            <w:shd w:val="clear" w:color="auto" w:fill="F2F2F2" w:themeFill="background1" w:themeFillShade="F2"/>
          </w:tcPr>
          <w:p w14:paraId="37E838D4" w14:textId="77777777" w:rsidR="00A03373" w:rsidRPr="00531C36" w:rsidRDefault="00A03373" w:rsidP="00A03373">
            <w:pPr>
              <w:jc w:val="center"/>
              <w:rPr>
                <w:b/>
                <w:bCs/>
                <w:sz w:val="16"/>
                <w:szCs w:val="20"/>
              </w:rPr>
            </w:pPr>
          </w:p>
        </w:tc>
      </w:tr>
      <w:tr w:rsidR="00A03373" w:rsidRPr="00531C36" w14:paraId="67AAA473" w14:textId="77777777" w:rsidTr="00A03373">
        <w:trPr>
          <w:trHeight w:val="309"/>
        </w:trPr>
        <w:tc>
          <w:tcPr>
            <w:tcW w:w="3119" w:type="dxa"/>
            <w:shd w:val="clear" w:color="auto" w:fill="F2F2F2" w:themeFill="background1" w:themeFillShade="F2"/>
          </w:tcPr>
          <w:p w14:paraId="6211ED5D" w14:textId="77777777" w:rsidR="00A03373" w:rsidRPr="00EA3435" w:rsidRDefault="00A03373" w:rsidP="00A03373">
            <w:pPr>
              <w:rPr>
                <w:sz w:val="20"/>
                <w:szCs w:val="18"/>
              </w:rPr>
            </w:pPr>
            <w:r w:rsidRPr="00EA3435">
              <w:rPr>
                <w:sz w:val="20"/>
                <w:szCs w:val="18"/>
              </w:rPr>
              <w:lastRenderedPageBreak/>
              <w:t>Mild motor plus cognitive impairments due to neonatal sepsis and other neonatal infections</w:t>
            </w:r>
          </w:p>
          <w:p w14:paraId="6DE4C6E2" w14:textId="77777777" w:rsidR="00A03373" w:rsidRPr="00EA3435" w:rsidRDefault="00A03373" w:rsidP="00A03373">
            <w:pPr>
              <w:rPr>
                <w:sz w:val="20"/>
                <w:szCs w:val="20"/>
              </w:rPr>
            </w:pPr>
          </w:p>
        </w:tc>
        <w:tc>
          <w:tcPr>
            <w:tcW w:w="2268" w:type="dxa"/>
          </w:tcPr>
          <w:p w14:paraId="7CAEAF75" w14:textId="18168677" w:rsidR="00A03373" w:rsidRPr="00EA3435" w:rsidRDefault="00A03373" w:rsidP="00A03373">
            <w:pPr>
              <w:jc w:val="center"/>
              <w:rPr>
                <w:sz w:val="20"/>
                <w:szCs w:val="20"/>
              </w:rPr>
            </w:pPr>
            <w:r w:rsidRPr="00EA3435">
              <w:rPr>
                <w:sz w:val="20"/>
                <w:szCs w:val="18"/>
              </w:rPr>
              <w:t>0.031,0.018,0.05</w:t>
            </w:r>
          </w:p>
        </w:tc>
        <w:tc>
          <w:tcPr>
            <w:tcW w:w="2080" w:type="dxa"/>
            <w:shd w:val="clear" w:color="auto" w:fill="F2F2F2" w:themeFill="background1" w:themeFillShade="F2"/>
          </w:tcPr>
          <w:p w14:paraId="548E06E0" w14:textId="77777777" w:rsidR="00A03373" w:rsidRPr="00531C36" w:rsidRDefault="00A03373" w:rsidP="00A03373">
            <w:pPr>
              <w:jc w:val="center"/>
              <w:rPr>
                <w:b/>
                <w:bCs/>
                <w:sz w:val="16"/>
                <w:szCs w:val="20"/>
              </w:rPr>
            </w:pPr>
          </w:p>
        </w:tc>
      </w:tr>
    </w:tbl>
    <w:p w14:paraId="18B4F4EC" w14:textId="75EC2A49" w:rsidR="00A03373" w:rsidRDefault="00A03373" w:rsidP="00BD7F21">
      <w:pPr>
        <w:spacing w:line="360" w:lineRule="auto"/>
        <w:rPr>
          <w:b/>
          <w:bCs/>
          <w:color w:val="A8D08D" w:themeColor="accent6" w:themeTint="99"/>
        </w:rPr>
      </w:pPr>
    </w:p>
    <w:p w14:paraId="12236A00" w14:textId="4E5B1EAF" w:rsidR="004E5E51" w:rsidRDefault="00294EB6" w:rsidP="00BD7F21">
      <w:pPr>
        <w:spacing w:line="360" w:lineRule="auto"/>
        <w:rPr>
          <w:b/>
          <w:bCs/>
          <w:color w:val="A8D08D" w:themeColor="accent6" w:themeTint="99"/>
        </w:rPr>
      </w:pPr>
      <w:r w:rsidRPr="00294EB6">
        <w:rPr>
          <w:b/>
          <w:bCs/>
          <w:color w:val="A8D08D" w:themeColor="accent6" w:themeTint="99"/>
        </w:rPr>
        <w:t>Maternal death</w:t>
      </w:r>
    </w:p>
    <w:p w14:paraId="26F63205" w14:textId="72378EE2" w:rsidR="004E5E51" w:rsidRPr="004D79B4" w:rsidRDefault="004D79B4" w:rsidP="00BD7F21">
      <w:pPr>
        <w:spacing w:line="360" w:lineRule="auto"/>
      </w:pPr>
      <w:r w:rsidRPr="004D79B4">
        <w:t xml:space="preserve">For any women who experience an acute complication during the postnatal period (sepsis, secondary PPH and eclampsia) we apply a case fatality rate to determine if they will survive or die due to this complication. As with the labour model, women are able to develop multiple complications within the same week and therefore have risk of death for each complication applied- considerably increasing the overall risk of death. For women who seek care for treatment, risk of death is applied after care has been delivered to allow for treatment effects to modify risk. </w:t>
      </w:r>
      <w:r>
        <w:t xml:space="preserve"> Additionally to the risk of death secondary to acute complications, we apply a weekly risk of death from severe hypertension, which is largely asymptomatic, but can contribute to death. </w:t>
      </w:r>
    </w:p>
    <w:p w14:paraId="0CEE8477" w14:textId="3620DBBE" w:rsidR="00084FD9" w:rsidRDefault="004E5E51" w:rsidP="00D450B0">
      <w:pPr>
        <w:spacing w:line="360" w:lineRule="auto"/>
        <w:rPr>
          <w:b/>
          <w:bCs/>
          <w:color w:val="A8D08D" w:themeColor="accent6" w:themeTint="99"/>
        </w:rPr>
      </w:pPr>
      <w:r>
        <w:rPr>
          <w:b/>
          <w:bCs/>
          <w:color w:val="A8D08D" w:themeColor="accent6" w:themeTint="99"/>
        </w:rPr>
        <w:t>Neonatal death</w:t>
      </w:r>
    </w:p>
    <w:p w14:paraId="259AC8B0" w14:textId="74D8BF6E" w:rsidR="00D450B0" w:rsidRPr="00D450B0" w:rsidRDefault="00D450B0" w:rsidP="00D450B0">
      <w:pPr>
        <w:spacing w:line="360" w:lineRule="auto"/>
      </w:pPr>
      <w:r w:rsidRPr="00D450B0">
        <w:t>Similarly to maternal deaths, neonates who experience early or late onset sepsis have an individual risk of death applied (modified by treatment). Surviving neonates are then a</w:t>
      </w:r>
      <w:r w:rsidR="0088181F">
        <w:t>t risk of developing disability.</w:t>
      </w:r>
    </w:p>
    <w:p w14:paraId="7DDBDFF4" w14:textId="3010482F" w:rsidR="00761DD3" w:rsidRDefault="00761DD3" w:rsidP="00F53403">
      <w:pPr>
        <w:rPr>
          <w:b/>
          <w:bCs/>
          <w:color w:val="767171" w:themeColor="background2" w:themeShade="80"/>
        </w:rPr>
      </w:pPr>
    </w:p>
    <w:p w14:paraId="356AF00C" w14:textId="0D76DFD3" w:rsidR="004D2137" w:rsidRPr="004D2137" w:rsidRDefault="004D2137" w:rsidP="004D2137">
      <w:pPr>
        <w:spacing w:line="360" w:lineRule="auto"/>
        <w:rPr>
          <w:b/>
          <w:bCs/>
          <w:color w:val="767171" w:themeColor="background2" w:themeShade="80"/>
        </w:rPr>
      </w:pPr>
      <w:r w:rsidRPr="004D2137">
        <w:rPr>
          <w:b/>
          <w:bCs/>
          <w:color w:val="767171" w:themeColor="background2" w:themeShade="80"/>
        </w:rPr>
        <w:t xml:space="preserve">Table 3.  Description of variables created relating to </w:t>
      </w:r>
      <w:r>
        <w:rPr>
          <w:b/>
          <w:bCs/>
          <w:color w:val="767171" w:themeColor="background2" w:themeShade="80"/>
        </w:rPr>
        <w:t>the postnatal period</w:t>
      </w:r>
    </w:p>
    <w:tbl>
      <w:tblPr>
        <w:tblStyle w:val="TableGrid"/>
        <w:tblW w:w="9639" w:type="dxa"/>
        <w:tblCellMar>
          <w:top w:w="113" w:type="dxa"/>
          <w:bottom w:w="113" w:type="dxa"/>
        </w:tblCellMar>
        <w:tblLook w:val="04A0" w:firstRow="1" w:lastRow="0" w:firstColumn="1" w:lastColumn="0" w:noHBand="0" w:noVBand="1"/>
      </w:tblPr>
      <w:tblGrid>
        <w:gridCol w:w="3088"/>
        <w:gridCol w:w="4425"/>
        <w:gridCol w:w="2126"/>
      </w:tblGrid>
      <w:tr w:rsidR="004D2137" w:rsidRPr="002D6EE0" w14:paraId="391330CA" w14:textId="77777777" w:rsidTr="00944B0A">
        <w:trPr>
          <w:trHeight w:val="390"/>
        </w:trPr>
        <w:tc>
          <w:tcPr>
            <w:tcW w:w="3088" w:type="dxa"/>
            <w:tcBorders>
              <w:top w:val="nil"/>
              <w:left w:val="nil"/>
              <w:bottom w:val="nil"/>
              <w:right w:val="nil"/>
            </w:tcBorders>
            <w:shd w:val="clear" w:color="auto" w:fill="BFBFBF" w:themeFill="background1" w:themeFillShade="BF"/>
            <w:noWrap/>
            <w:hideMark/>
          </w:tcPr>
          <w:p w14:paraId="6287DB71" w14:textId="77777777" w:rsidR="004D2137" w:rsidRPr="004C17FA" w:rsidRDefault="004D2137" w:rsidP="000A1504">
            <w:pPr>
              <w:rPr>
                <w:b/>
                <w:bCs/>
                <w:sz w:val="18"/>
                <w:szCs w:val="18"/>
              </w:rPr>
            </w:pPr>
            <w:r w:rsidRPr="004C17FA">
              <w:rPr>
                <w:b/>
                <w:bCs/>
                <w:sz w:val="18"/>
                <w:szCs w:val="18"/>
              </w:rPr>
              <w:t>Variable</w:t>
            </w:r>
          </w:p>
        </w:tc>
        <w:tc>
          <w:tcPr>
            <w:tcW w:w="4425" w:type="dxa"/>
            <w:tcBorders>
              <w:top w:val="nil"/>
              <w:left w:val="nil"/>
              <w:bottom w:val="nil"/>
              <w:right w:val="nil"/>
            </w:tcBorders>
            <w:shd w:val="clear" w:color="auto" w:fill="BFBFBF" w:themeFill="background1" w:themeFillShade="BF"/>
            <w:noWrap/>
            <w:hideMark/>
          </w:tcPr>
          <w:p w14:paraId="10FA6B26" w14:textId="77777777" w:rsidR="004D2137" w:rsidRPr="004C17FA" w:rsidRDefault="004D2137" w:rsidP="000A1504">
            <w:pPr>
              <w:rPr>
                <w:b/>
                <w:bCs/>
                <w:sz w:val="18"/>
                <w:szCs w:val="18"/>
              </w:rPr>
            </w:pPr>
            <w:r w:rsidRPr="004C17FA">
              <w:rPr>
                <w:b/>
                <w:bCs/>
                <w:sz w:val="18"/>
                <w:szCs w:val="18"/>
              </w:rPr>
              <w:t>Description</w:t>
            </w:r>
          </w:p>
        </w:tc>
        <w:tc>
          <w:tcPr>
            <w:tcW w:w="2126" w:type="dxa"/>
            <w:tcBorders>
              <w:top w:val="nil"/>
              <w:left w:val="nil"/>
              <w:bottom w:val="nil"/>
              <w:right w:val="nil"/>
            </w:tcBorders>
            <w:shd w:val="clear" w:color="auto" w:fill="BFBFBF" w:themeFill="background1" w:themeFillShade="BF"/>
            <w:noWrap/>
            <w:hideMark/>
          </w:tcPr>
          <w:p w14:paraId="71ED5643" w14:textId="77777777" w:rsidR="004D2137" w:rsidRPr="004C17FA" w:rsidRDefault="004D2137" w:rsidP="000A1504">
            <w:pPr>
              <w:rPr>
                <w:b/>
                <w:bCs/>
                <w:sz w:val="18"/>
                <w:szCs w:val="18"/>
              </w:rPr>
            </w:pPr>
            <w:r w:rsidRPr="004C17FA">
              <w:rPr>
                <w:b/>
                <w:bCs/>
                <w:sz w:val="18"/>
                <w:szCs w:val="18"/>
              </w:rPr>
              <w:t>Notes  and Major Assumptions</w:t>
            </w:r>
          </w:p>
        </w:tc>
      </w:tr>
      <w:tr w:rsidR="004D2137" w:rsidRPr="00A74EFF" w14:paraId="2B90659D" w14:textId="77777777" w:rsidTr="00944B0A">
        <w:trPr>
          <w:trHeight w:val="21"/>
        </w:trPr>
        <w:tc>
          <w:tcPr>
            <w:tcW w:w="3088" w:type="dxa"/>
            <w:tcBorders>
              <w:top w:val="nil"/>
              <w:left w:val="nil"/>
              <w:bottom w:val="nil"/>
              <w:right w:val="nil"/>
            </w:tcBorders>
            <w:shd w:val="clear" w:color="auto" w:fill="F2F2F2" w:themeFill="background1" w:themeFillShade="F2"/>
            <w:noWrap/>
            <w:hideMark/>
          </w:tcPr>
          <w:p w14:paraId="30439751" w14:textId="285670C3" w:rsidR="004D2137" w:rsidRPr="004C17FA" w:rsidRDefault="00164A9C" w:rsidP="000A1504">
            <w:pPr>
              <w:rPr>
                <w:rFonts w:ascii="Calibri" w:hAnsi="Calibri" w:cs="Calibri"/>
                <w:color w:val="000000" w:themeColor="text1"/>
                <w:sz w:val="18"/>
                <w:szCs w:val="18"/>
              </w:rPr>
            </w:pPr>
            <w:r>
              <w:rPr>
                <w:rFonts w:ascii="Calibri" w:hAnsi="Calibri" w:cs="Calibri"/>
                <w:color w:val="000000" w:themeColor="text1"/>
                <w:sz w:val="18"/>
                <w:szCs w:val="18"/>
              </w:rPr>
              <w:t>p</w:t>
            </w:r>
            <w:r w:rsidR="00EA3435" w:rsidRPr="00164A9C">
              <w:rPr>
                <w:rFonts w:ascii="Calibri" w:hAnsi="Calibri" w:cs="Calibri"/>
                <w:color w:val="000000" w:themeColor="text1"/>
                <w:sz w:val="18"/>
                <w:szCs w:val="18"/>
              </w:rPr>
              <w:t>n_id_most_recent_child'</w:t>
            </w:r>
          </w:p>
        </w:tc>
        <w:tc>
          <w:tcPr>
            <w:tcW w:w="4425" w:type="dxa"/>
            <w:tcBorders>
              <w:top w:val="nil"/>
              <w:left w:val="nil"/>
              <w:bottom w:val="nil"/>
              <w:right w:val="nil"/>
            </w:tcBorders>
            <w:noWrap/>
            <w:hideMark/>
          </w:tcPr>
          <w:p w14:paraId="7E3DAA58" w14:textId="508100DE" w:rsidR="004D2137" w:rsidRDefault="00EA3435" w:rsidP="004D2137">
            <w:pPr>
              <w:rPr>
                <w:rFonts w:ascii="Calibri" w:hAnsi="Calibri" w:cs="Calibri"/>
                <w:color w:val="000000" w:themeColor="text1"/>
                <w:sz w:val="18"/>
                <w:szCs w:val="18"/>
              </w:rPr>
            </w:pPr>
            <w:r w:rsidRPr="00164A9C">
              <w:rPr>
                <w:rFonts w:ascii="Calibri" w:hAnsi="Calibri" w:cs="Calibri"/>
                <w:color w:val="000000" w:themeColor="text1"/>
                <w:sz w:val="18"/>
                <w:szCs w:val="18"/>
              </w:rPr>
              <w:t>person_id</w:t>
            </w:r>
            <w:r w:rsidR="00F41BE4">
              <w:rPr>
                <w:rFonts w:ascii="Calibri" w:hAnsi="Calibri" w:cs="Calibri"/>
                <w:color w:val="000000" w:themeColor="text1"/>
                <w:sz w:val="18"/>
                <w:szCs w:val="18"/>
              </w:rPr>
              <w:t xml:space="preserve"> of a mothers most recent child</w:t>
            </w:r>
          </w:p>
          <w:p w14:paraId="2C10C16A" w14:textId="13494DE3" w:rsidR="00F41BE4" w:rsidRPr="00164A9C" w:rsidRDefault="00F41BE4" w:rsidP="004D2137">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19D8C1D2" w14:textId="77777777" w:rsidR="004D2137" w:rsidRPr="00164A9C" w:rsidRDefault="004D2137" w:rsidP="000A1504">
            <w:pPr>
              <w:rPr>
                <w:rFonts w:ascii="Calibri" w:hAnsi="Calibri" w:cs="Calibri"/>
                <w:color w:val="000000" w:themeColor="text1"/>
                <w:sz w:val="18"/>
                <w:szCs w:val="18"/>
              </w:rPr>
            </w:pPr>
          </w:p>
        </w:tc>
      </w:tr>
      <w:tr w:rsidR="00EA3435" w:rsidRPr="00A74EFF" w14:paraId="61DD48F6" w14:textId="77777777" w:rsidTr="00944B0A">
        <w:trPr>
          <w:trHeight w:val="21"/>
        </w:trPr>
        <w:tc>
          <w:tcPr>
            <w:tcW w:w="3088" w:type="dxa"/>
            <w:tcBorders>
              <w:top w:val="nil"/>
              <w:left w:val="nil"/>
              <w:bottom w:val="nil"/>
              <w:right w:val="nil"/>
            </w:tcBorders>
            <w:shd w:val="clear" w:color="auto" w:fill="F2F2F2" w:themeFill="background1" w:themeFillShade="F2"/>
            <w:noWrap/>
          </w:tcPr>
          <w:p w14:paraId="1B6C8538" w14:textId="56F1CE90" w:rsidR="00EA3435" w:rsidRPr="00164A9C" w:rsidRDefault="00F41BE4" w:rsidP="000A1504">
            <w:pPr>
              <w:rPr>
                <w:rFonts w:ascii="Calibri" w:hAnsi="Calibri" w:cs="Calibri"/>
                <w:color w:val="000000" w:themeColor="text1"/>
                <w:sz w:val="18"/>
                <w:szCs w:val="18"/>
              </w:rPr>
            </w:pPr>
            <w:r>
              <w:rPr>
                <w:rFonts w:ascii="Calibri" w:hAnsi="Calibri" w:cs="Calibri"/>
                <w:color w:val="000000" w:themeColor="text1"/>
                <w:sz w:val="18"/>
                <w:szCs w:val="18"/>
              </w:rPr>
              <w:t>pn_postnatal_period_in_weeks</w:t>
            </w:r>
          </w:p>
        </w:tc>
        <w:tc>
          <w:tcPr>
            <w:tcW w:w="4425" w:type="dxa"/>
            <w:tcBorders>
              <w:top w:val="nil"/>
              <w:left w:val="nil"/>
              <w:bottom w:val="nil"/>
              <w:right w:val="nil"/>
            </w:tcBorders>
            <w:noWrap/>
          </w:tcPr>
          <w:p w14:paraId="0F352E32" w14:textId="328523AC" w:rsidR="00EA3435" w:rsidRDefault="00EA3435" w:rsidP="00EA3435">
            <w:pPr>
              <w:rPr>
                <w:rFonts w:ascii="Calibri" w:hAnsi="Calibri" w:cs="Calibri"/>
                <w:color w:val="000000" w:themeColor="text1"/>
                <w:sz w:val="18"/>
                <w:szCs w:val="18"/>
              </w:rPr>
            </w:pPr>
            <w:r w:rsidRPr="00164A9C">
              <w:rPr>
                <w:rFonts w:ascii="Calibri" w:hAnsi="Calibri" w:cs="Calibri"/>
                <w:color w:val="000000" w:themeColor="text1"/>
                <w:sz w:val="18"/>
                <w:szCs w:val="18"/>
              </w:rPr>
              <w:t>The number of weeks a woman is in the postnatal period  (1-6)</w:t>
            </w:r>
          </w:p>
          <w:p w14:paraId="2D3F7196" w14:textId="158E4D39" w:rsidR="00F41BE4" w:rsidRPr="00164A9C" w:rsidRDefault="00F41BE4" w:rsidP="00EA3435">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75F562D4" w14:textId="77777777" w:rsidR="00EA3435" w:rsidRPr="00164A9C" w:rsidRDefault="00EA3435" w:rsidP="000A1504">
            <w:pPr>
              <w:rPr>
                <w:rFonts w:ascii="Calibri" w:hAnsi="Calibri" w:cs="Calibri"/>
                <w:color w:val="000000" w:themeColor="text1"/>
                <w:sz w:val="18"/>
                <w:szCs w:val="18"/>
              </w:rPr>
            </w:pPr>
          </w:p>
        </w:tc>
      </w:tr>
      <w:tr w:rsidR="00164A9C" w:rsidRPr="00A74EFF" w14:paraId="56BA1A14" w14:textId="77777777" w:rsidTr="00944B0A">
        <w:trPr>
          <w:trHeight w:val="21"/>
        </w:trPr>
        <w:tc>
          <w:tcPr>
            <w:tcW w:w="3088" w:type="dxa"/>
            <w:tcBorders>
              <w:top w:val="nil"/>
              <w:left w:val="nil"/>
              <w:bottom w:val="nil"/>
              <w:right w:val="nil"/>
            </w:tcBorders>
            <w:shd w:val="clear" w:color="auto" w:fill="F2F2F2" w:themeFill="background1" w:themeFillShade="F2"/>
            <w:noWrap/>
          </w:tcPr>
          <w:p w14:paraId="3E472F07" w14:textId="3DF550CA" w:rsidR="00164A9C" w:rsidRPr="00164A9C" w:rsidRDefault="00F41BE4" w:rsidP="000A1504">
            <w:pPr>
              <w:rPr>
                <w:rFonts w:ascii="Calibri" w:hAnsi="Calibri" w:cs="Calibri"/>
                <w:color w:val="000000" w:themeColor="text1"/>
                <w:sz w:val="18"/>
                <w:szCs w:val="18"/>
              </w:rPr>
            </w:pPr>
            <w:r>
              <w:rPr>
                <w:rFonts w:ascii="Calibri" w:hAnsi="Calibri" w:cs="Calibri"/>
                <w:color w:val="000000" w:themeColor="text1"/>
                <w:sz w:val="18"/>
                <w:szCs w:val="18"/>
              </w:rPr>
              <w:t>pn_pnc_visits_maternal</w:t>
            </w:r>
          </w:p>
        </w:tc>
        <w:tc>
          <w:tcPr>
            <w:tcW w:w="4425" w:type="dxa"/>
            <w:tcBorders>
              <w:top w:val="nil"/>
              <w:left w:val="nil"/>
              <w:bottom w:val="nil"/>
              <w:right w:val="nil"/>
            </w:tcBorders>
            <w:noWrap/>
          </w:tcPr>
          <w:p w14:paraId="59DD693E" w14:textId="245DC810" w:rsid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The number of postnatal care visits a woman has undergone fol</w:t>
            </w:r>
            <w:r w:rsidR="00F41BE4">
              <w:rPr>
                <w:rFonts w:ascii="Calibri" w:hAnsi="Calibri" w:cs="Calibri"/>
                <w:color w:val="000000" w:themeColor="text1"/>
                <w:sz w:val="18"/>
                <w:szCs w:val="18"/>
              </w:rPr>
              <w:t>lowing her most recent delivery</w:t>
            </w:r>
          </w:p>
          <w:p w14:paraId="4BE3F1AA" w14:textId="747C267C"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02BAE399" w14:textId="77777777" w:rsidR="00164A9C" w:rsidRPr="00164A9C" w:rsidRDefault="00164A9C" w:rsidP="000A1504">
            <w:pPr>
              <w:rPr>
                <w:rFonts w:ascii="Calibri" w:hAnsi="Calibri" w:cs="Calibri"/>
                <w:color w:val="000000" w:themeColor="text1"/>
                <w:sz w:val="18"/>
                <w:szCs w:val="18"/>
              </w:rPr>
            </w:pPr>
          </w:p>
        </w:tc>
      </w:tr>
      <w:tr w:rsidR="00164A9C" w:rsidRPr="00A74EFF" w14:paraId="3AFCE1A0" w14:textId="77777777" w:rsidTr="00944B0A">
        <w:trPr>
          <w:trHeight w:val="21"/>
        </w:trPr>
        <w:tc>
          <w:tcPr>
            <w:tcW w:w="3088" w:type="dxa"/>
            <w:tcBorders>
              <w:top w:val="nil"/>
              <w:left w:val="nil"/>
              <w:bottom w:val="nil"/>
              <w:right w:val="nil"/>
            </w:tcBorders>
            <w:shd w:val="clear" w:color="auto" w:fill="F2F2F2" w:themeFill="background1" w:themeFillShade="F2"/>
            <w:noWrap/>
          </w:tcPr>
          <w:p w14:paraId="2DA7E6C8" w14:textId="2E90B3AC" w:rsidR="00164A9C" w:rsidRPr="00164A9C" w:rsidRDefault="00F41BE4" w:rsidP="000A1504">
            <w:pPr>
              <w:rPr>
                <w:rFonts w:ascii="Calibri" w:hAnsi="Calibri" w:cs="Calibri"/>
                <w:color w:val="000000" w:themeColor="text1"/>
                <w:sz w:val="18"/>
                <w:szCs w:val="18"/>
              </w:rPr>
            </w:pPr>
            <w:r>
              <w:rPr>
                <w:rFonts w:ascii="Calibri" w:hAnsi="Calibri" w:cs="Calibri"/>
                <w:color w:val="000000" w:themeColor="text1"/>
                <w:sz w:val="18"/>
                <w:szCs w:val="18"/>
              </w:rPr>
              <w:t>pn_pnc_visits_neonatal</w:t>
            </w:r>
          </w:p>
        </w:tc>
        <w:tc>
          <w:tcPr>
            <w:tcW w:w="4425" w:type="dxa"/>
            <w:tcBorders>
              <w:top w:val="nil"/>
              <w:left w:val="nil"/>
              <w:bottom w:val="nil"/>
              <w:right w:val="nil"/>
            </w:tcBorders>
            <w:noWrap/>
          </w:tcPr>
          <w:p w14:paraId="1D4D4A8B" w14:textId="675BBACF" w:rsidR="00164A9C" w:rsidRP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 xml:space="preserve">The number of postnatal care visits a neonate has undergone </w:t>
            </w:r>
            <w:r w:rsidR="00F41BE4">
              <w:rPr>
                <w:rFonts w:ascii="Calibri" w:hAnsi="Calibri" w:cs="Calibri"/>
                <w:color w:val="000000" w:themeColor="text1"/>
                <w:sz w:val="18"/>
                <w:szCs w:val="18"/>
              </w:rPr>
              <w:t>following delivery</w:t>
            </w:r>
          </w:p>
        </w:tc>
        <w:tc>
          <w:tcPr>
            <w:tcW w:w="2126" w:type="dxa"/>
            <w:tcBorders>
              <w:top w:val="nil"/>
              <w:left w:val="nil"/>
              <w:bottom w:val="nil"/>
              <w:right w:val="nil"/>
            </w:tcBorders>
            <w:shd w:val="clear" w:color="auto" w:fill="F2F2F2" w:themeFill="background1" w:themeFillShade="F2"/>
            <w:noWrap/>
          </w:tcPr>
          <w:p w14:paraId="39317FB4" w14:textId="77777777" w:rsidR="00164A9C" w:rsidRPr="00164A9C" w:rsidRDefault="00164A9C" w:rsidP="000A1504">
            <w:pPr>
              <w:rPr>
                <w:rFonts w:ascii="Calibri" w:hAnsi="Calibri" w:cs="Calibri"/>
                <w:color w:val="000000" w:themeColor="text1"/>
                <w:sz w:val="18"/>
                <w:szCs w:val="18"/>
              </w:rPr>
            </w:pPr>
          </w:p>
        </w:tc>
      </w:tr>
      <w:tr w:rsidR="00164A9C" w:rsidRPr="00A74EFF" w14:paraId="6D5C161E" w14:textId="77777777" w:rsidTr="00944B0A">
        <w:trPr>
          <w:trHeight w:val="21"/>
        </w:trPr>
        <w:tc>
          <w:tcPr>
            <w:tcW w:w="3088" w:type="dxa"/>
            <w:tcBorders>
              <w:top w:val="nil"/>
              <w:left w:val="nil"/>
              <w:bottom w:val="nil"/>
              <w:right w:val="nil"/>
            </w:tcBorders>
            <w:shd w:val="clear" w:color="auto" w:fill="F2F2F2" w:themeFill="background1" w:themeFillShade="F2"/>
            <w:noWrap/>
          </w:tcPr>
          <w:p w14:paraId="5D9B3B06" w14:textId="3B85B800" w:rsidR="00164A9C" w:rsidRPr="00164A9C" w:rsidRDefault="00F41BE4" w:rsidP="000A1504">
            <w:pPr>
              <w:rPr>
                <w:rFonts w:ascii="Calibri" w:hAnsi="Calibri" w:cs="Calibri"/>
                <w:color w:val="000000" w:themeColor="text1"/>
                <w:sz w:val="18"/>
                <w:szCs w:val="18"/>
              </w:rPr>
            </w:pPr>
            <w:r>
              <w:rPr>
                <w:rFonts w:ascii="Calibri" w:hAnsi="Calibri" w:cs="Calibri"/>
                <w:color w:val="000000" w:themeColor="text1"/>
                <w:sz w:val="18"/>
                <w:szCs w:val="18"/>
              </w:rPr>
              <w:t>pn_htn_disorders</w:t>
            </w:r>
          </w:p>
        </w:tc>
        <w:tc>
          <w:tcPr>
            <w:tcW w:w="4425" w:type="dxa"/>
            <w:tcBorders>
              <w:top w:val="nil"/>
              <w:left w:val="nil"/>
              <w:bottom w:val="nil"/>
              <w:right w:val="nil"/>
            </w:tcBorders>
            <w:noWrap/>
          </w:tcPr>
          <w:p w14:paraId="28215A2C" w14:textId="77777777" w:rsid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Hypertensive disorders of the postnatal period ('none', 'resolved', 'gest_htn', 'severe_gest_htn', 'mild_pre_eclamp',                                      'severe_pre_eclamp', 'eclampsia'</w:t>
            </w:r>
          </w:p>
          <w:p w14:paraId="2734414E" w14:textId="3E38E7CC"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1ABA04EF" w14:textId="77777777" w:rsidR="00164A9C" w:rsidRPr="00164A9C" w:rsidRDefault="00164A9C" w:rsidP="000A1504">
            <w:pPr>
              <w:rPr>
                <w:rFonts w:ascii="Calibri" w:hAnsi="Calibri" w:cs="Calibri"/>
                <w:color w:val="000000" w:themeColor="text1"/>
                <w:sz w:val="18"/>
                <w:szCs w:val="18"/>
              </w:rPr>
            </w:pPr>
          </w:p>
        </w:tc>
      </w:tr>
      <w:tr w:rsidR="00164A9C" w:rsidRPr="00A74EFF" w14:paraId="4583646C" w14:textId="77777777" w:rsidTr="00944B0A">
        <w:trPr>
          <w:trHeight w:val="21"/>
        </w:trPr>
        <w:tc>
          <w:tcPr>
            <w:tcW w:w="3088" w:type="dxa"/>
            <w:tcBorders>
              <w:top w:val="nil"/>
              <w:left w:val="nil"/>
              <w:bottom w:val="nil"/>
              <w:right w:val="nil"/>
            </w:tcBorders>
            <w:shd w:val="clear" w:color="auto" w:fill="F2F2F2" w:themeFill="background1" w:themeFillShade="F2"/>
            <w:noWrap/>
          </w:tcPr>
          <w:p w14:paraId="34D2ABD8" w14:textId="13C0D855" w:rsidR="00164A9C" w:rsidRPr="00164A9C" w:rsidRDefault="00F41BE4" w:rsidP="000A1504">
            <w:pPr>
              <w:rPr>
                <w:rFonts w:ascii="Calibri" w:hAnsi="Calibri" w:cs="Calibri"/>
                <w:color w:val="000000" w:themeColor="text1"/>
                <w:sz w:val="18"/>
                <w:szCs w:val="18"/>
              </w:rPr>
            </w:pPr>
            <w:r>
              <w:rPr>
                <w:rFonts w:ascii="Calibri" w:hAnsi="Calibri" w:cs="Calibri"/>
                <w:color w:val="000000" w:themeColor="text1"/>
                <w:sz w:val="18"/>
                <w:szCs w:val="18"/>
              </w:rPr>
              <w:lastRenderedPageBreak/>
              <w:t>pn_mag_sulph_treatment</w:t>
            </w:r>
          </w:p>
        </w:tc>
        <w:tc>
          <w:tcPr>
            <w:tcW w:w="4425" w:type="dxa"/>
            <w:tcBorders>
              <w:top w:val="nil"/>
              <w:left w:val="nil"/>
              <w:bottom w:val="nil"/>
              <w:right w:val="nil"/>
            </w:tcBorders>
            <w:noWrap/>
          </w:tcPr>
          <w:p w14:paraId="11174911" w14:textId="37B8B695" w:rsidR="00164A9C" w:rsidRP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Whether this woman has received magnesium sulphate as treatment for eclampsia/ severe pre-eclampsia'</w:t>
            </w:r>
          </w:p>
        </w:tc>
        <w:tc>
          <w:tcPr>
            <w:tcW w:w="2126" w:type="dxa"/>
            <w:tcBorders>
              <w:top w:val="nil"/>
              <w:left w:val="nil"/>
              <w:bottom w:val="nil"/>
              <w:right w:val="nil"/>
            </w:tcBorders>
            <w:shd w:val="clear" w:color="auto" w:fill="F2F2F2" w:themeFill="background1" w:themeFillShade="F2"/>
            <w:noWrap/>
          </w:tcPr>
          <w:p w14:paraId="455ABFF8" w14:textId="77777777" w:rsidR="00164A9C" w:rsidRPr="004C17FA" w:rsidRDefault="00164A9C" w:rsidP="000A1504">
            <w:pPr>
              <w:rPr>
                <w:rFonts w:ascii="Calibri" w:hAnsi="Calibri" w:cs="Calibri"/>
                <w:color w:val="000000"/>
                <w:sz w:val="18"/>
                <w:szCs w:val="18"/>
              </w:rPr>
            </w:pPr>
          </w:p>
        </w:tc>
      </w:tr>
      <w:tr w:rsidR="00164A9C" w:rsidRPr="00A74EFF" w14:paraId="1614FEE8" w14:textId="77777777" w:rsidTr="00944B0A">
        <w:trPr>
          <w:trHeight w:val="21"/>
        </w:trPr>
        <w:tc>
          <w:tcPr>
            <w:tcW w:w="3088" w:type="dxa"/>
            <w:tcBorders>
              <w:top w:val="nil"/>
              <w:left w:val="nil"/>
              <w:bottom w:val="nil"/>
              <w:right w:val="nil"/>
            </w:tcBorders>
            <w:shd w:val="clear" w:color="auto" w:fill="F2F2F2" w:themeFill="background1" w:themeFillShade="F2"/>
            <w:noWrap/>
          </w:tcPr>
          <w:p w14:paraId="5BB7E66E" w14:textId="0A6C3CF4" w:rsidR="00164A9C" w:rsidRPr="00164A9C" w:rsidRDefault="00F41BE4" w:rsidP="000A1504">
            <w:pPr>
              <w:rPr>
                <w:rFonts w:ascii="Calibri" w:hAnsi="Calibri" w:cs="Calibri"/>
                <w:color w:val="000000" w:themeColor="text1"/>
                <w:sz w:val="18"/>
                <w:szCs w:val="18"/>
              </w:rPr>
            </w:pPr>
            <w:r>
              <w:rPr>
                <w:rFonts w:ascii="Calibri" w:hAnsi="Calibri" w:cs="Calibri"/>
                <w:color w:val="000000" w:themeColor="text1"/>
                <w:sz w:val="18"/>
                <w:szCs w:val="18"/>
              </w:rPr>
              <w:t>pn_gest_htn_on_treatment</w:t>
            </w:r>
          </w:p>
        </w:tc>
        <w:tc>
          <w:tcPr>
            <w:tcW w:w="4425" w:type="dxa"/>
            <w:tcBorders>
              <w:top w:val="nil"/>
              <w:left w:val="nil"/>
              <w:bottom w:val="nil"/>
              <w:right w:val="nil"/>
            </w:tcBorders>
            <w:noWrap/>
          </w:tcPr>
          <w:p w14:paraId="2A753C9F" w14:textId="77777777" w:rsid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Whether this woman is receiving regular oral medication for hypertension in the postnatal period</w:t>
            </w:r>
          </w:p>
          <w:p w14:paraId="390FE753" w14:textId="756B24F2"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322A2688" w14:textId="77777777" w:rsidR="00164A9C" w:rsidRPr="004C17FA" w:rsidRDefault="00164A9C" w:rsidP="000A1504">
            <w:pPr>
              <w:rPr>
                <w:rFonts w:ascii="Calibri" w:hAnsi="Calibri" w:cs="Calibri"/>
                <w:color w:val="000000"/>
                <w:sz w:val="18"/>
                <w:szCs w:val="18"/>
              </w:rPr>
            </w:pPr>
          </w:p>
        </w:tc>
      </w:tr>
      <w:tr w:rsidR="00164A9C" w:rsidRPr="00A74EFF" w14:paraId="08569BE5" w14:textId="77777777" w:rsidTr="00944B0A">
        <w:trPr>
          <w:trHeight w:val="21"/>
        </w:trPr>
        <w:tc>
          <w:tcPr>
            <w:tcW w:w="3088" w:type="dxa"/>
            <w:tcBorders>
              <w:top w:val="nil"/>
              <w:left w:val="nil"/>
              <w:bottom w:val="nil"/>
              <w:right w:val="nil"/>
            </w:tcBorders>
            <w:shd w:val="clear" w:color="auto" w:fill="F2F2F2" w:themeFill="background1" w:themeFillShade="F2"/>
            <w:noWrap/>
          </w:tcPr>
          <w:p w14:paraId="3B010F63" w14:textId="62C65082" w:rsidR="00164A9C" w:rsidRPr="00164A9C" w:rsidRDefault="00164A9C" w:rsidP="000A1504">
            <w:pPr>
              <w:rPr>
                <w:rFonts w:ascii="Calibri" w:hAnsi="Calibri" w:cs="Calibri"/>
                <w:color w:val="000000" w:themeColor="text1"/>
                <w:sz w:val="18"/>
                <w:szCs w:val="18"/>
              </w:rPr>
            </w:pPr>
            <w:r w:rsidRPr="00164A9C">
              <w:rPr>
                <w:rFonts w:ascii="Calibri" w:hAnsi="Calibri" w:cs="Calibri"/>
                <w:color w:val="000000" w:themeColor="text1"/>
                <w:sz w:val="18"/>
                <w:szCs w:val="18"/>
              </w:rPr>
              <w:t>pn_iv</w:t>
            </w:r>
            <w:r w:rsidR="00F41BE4">
              <w:rPr>
                <w:rFonts w:ascii="Calibri" w:hAnsi="Calibri" w:cs="Calibri"/>
                <w:color w:val="000000" w:themeColor="text1"/>
                <w:sz w:val="18"/>
                <w:szCs w:val="18"/>
              </w:rPr>
              <w:t>_anti_htn_treatment</w:t>
            </w:r>
          </w:p>
        </w:tc>
        <w:tc>
          <w:tcPr>
            <w:tcW w:w="4425" w:type="dxa"/>
            <w:tcBorders>
              <w:top w:val="nil"/>
              <w:left w:val="nil"/>
              <w:bottom w:val="nil"/>
              <w:right w:val="nil"/>
            </w:tcBorders>
            <w:noWrap/>
          </w:tcPr>
          <w:p w14:paraId="3F0213A0" w14:textId="1B3656CB" w:rsid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 xml:space="preserve">Whether this woman has received IV </w:t>
            </w:r>
            <w:r w:rsidR="00F41BE4" w:rsidRPr="00164A9C">
              <w:rPr>
                <w:rFonts w:ascii="Calibri" w:hAnsi="Calibri" w:cs="Calibri"/>
                <w:color w:val="000000" w:themeColor="text1"/>
                <w:sz w:val="18"/>
                <w:szCs w:val="18"/>
              </w:rPr>
              <w:t>anti-hypertensive</w:t>
            </w:r>
            <w:r w:rsidRPr="00164A9C">
              <w:rPr>
                <w:rFonts w:ascii="Calibri" w:hAnsi="Calibri" w:cs="Calibri"/>
                <w:color w:val="000000" w:themeColor="text1"/>
                <w:sz w:val="18"/>
                <w:szCs w:val="18"/>
              </w:rPr>
              <w:t xml:space="preserve"> therapy </w:t>
            </w:r>
            <w:r w:rsidR="00F41BE4">
              <w:rPr>
                <w:rFonts w:ascii="Calibri" w:hAnsi="Calibri" w:cs="Calibri"/>
                <w:color w:val="000000" w:themeColor="text1"/>
                <w:sz w:val="18"/>
                <w:szCs w:val="18"/>
              </w:rPr>
              <w:t>during a hypertensive emergency</w:t>
            </w:r>
          </w:p>
          <w:p w14:paraId="32B816F7" w14:textId="31986908"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5B55DEF1" w14:textId="77777777" w:rsidR="00164A9C" w:rsidRPr="004C17FA" w:rsidRDefault="00164A9C" w:rsidP="000A1504">
            <w:pPr>
              <w:rPr>
                <w:rFonts w:ascii="Calibri" w:hAnsi="Calibri" w:cs="Calibri"/>
                <w:color w:val="000000"/>
                <w:sz w:val="18"/>
                <w:szCs w:val="18"/>
              </w:rPr>
            </w:pPr>
          </w:p>
        </w:tc>
      </w:tr>
      <w:tr w:rsidR="00164A9C" w:rsidRPr="00A74EFF" w14:paraId="277787F5" w14:textId="77777777" w:rsidTr="00944B0A">
        <w:trPr>
          <w:trHeight w:val="21"/>
        </w:trPr>
        <w:tc>
          <w:tcPr>
            <w:tcW w:w="3088" w:type="dxa"/>
            <w:tcBorders>
              <w:top w:val="nil"/>
              <w:left w:val="nil"/>
              <w:bottom w:val="nil"/>
              <w:right w:val="nil"/>
            </w:tcBorders>
            <w:shd w:val="clear" w:color="auto" w:fill="F2F2F2" w:themeFill="background1" w:themeFillShade="F2"/>
            <w:noWrap/>
          </w:tcPr>
          <w:p w14:paraId="18456E38" w14:textId="611A55CE" w:rsidR="00164A9C" w:rsidRPr="00164A9C" w:rsidRDefault="00F41BE4" w:rsidP="000A1504">
            <w:pPr>
              <w:rPr>
                <w:rFonts w:ascii="Calibri" w:hAnsi="Calibri" w:cs="Calibri"/>
                <w:color w:val="000000" w:themeColor="text1"/>
                <w:sz w:val="18"/>
                <w:szCs w:val="18"/>
              </w:rPr>
            </w:pPr>
            <w:r>
              <w:rPr>
                <w:rFonts w:ascii="Calibri" w:hAnsi="Calibri" w:cs="Calibri"/>
                <w:color w:val="000000" w:themeColor="text1"/>
                <w:sz w:val="18"/>
                <w:szCs w:val="18"/>
              </w:rPr>
              <w:t>pn_postpartum_haem_secondary</w:t>
            </w:r>
          </w:p>
        </w:tc>
        <w:tc>
          <w:tcPr>
            <w:tcW w:w="4425" w:type="dxa"/>
            <w:tcBorders>
              <w:top w:val="nil"/>
              <w:left w:val="nil"/>
              <w:bottom w:val="nil"/>
              <w:right w:val="nil"/>
            </w:tcBorders>
            <w:noWrap/>
          </w:tcPr>
          <w:p w14:paraId="12BC0C1C" w14:textId="12EE3AB1" w:rsidR="00164A9C" w:rsidRP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 xml:space="preserve">Whether this woman is experiencing a secondary </w:t>
            </w:r>
            <w:r w:rsidR="00F41BE4">
              <w:rPr>
                <w:rFonts w:ascii="Calibri" w:hAnsi="Calibri" w:cs="Calibri"/>
                <w:color w:val="000000" w:themeColor="text1"/>
                <w:sz w:val="18"/>
                <w:szCs w:val="18"/>
              </w:rPr>
              <w:t>postpartum haemorrhage</w:t>
            </w:r>
          </w:p>
          <w:p w14:paraId="3AA2244C" w14:textId="78B35475" w:rsidR="00164A9C" w:rsidRPr="00164A9C" w:rsidRDefault="00164A9C"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79575C29" w14:textId="77777777" w:rsidR="00164A9C" w:rsidRPr="004C17FA" w:rsidRDefault="00164A9C" w:rsidP="000A1504">
            <w:pPr>
              <w:rPr>
                <w:rFonts w:ascii="Calibri" w:hAnsi="Calibri" w:cs="Calibri"/>
                <w:color w:val="000000"/>
                <w:sz w:val="18"/>
                <w:szCs w:val="18"/>
              </w:rPr>
            </w:pPr>
          </w:p>
        </w:tc>
      </w:tr>
      <w:tr w:rsidR="00164A9C" w:rsidRPr="00A74EFF" w14:paraId="2FC35426" w14:textId="77777777" w:rsidTr="00944B0A">
        <w:trPr>
          <w:trHeight w:val="21"/>
        </w:trPr>
        <w:tc>
          <w:tcPr>
            <w:tcW w:w="3088" w:type="dxa"/>
            <w:tcBorders>
              <w:top w:val="nil"/>
              <w:left w:val="nil"/>
              <w:bottom w:val="nil"/>
              <w:right w:val="nil"/>
            </w:tcBorders>
            <w:shd w:val="clear" w:color="auto" w:fill="F2F2F2" w:themeFill="background1" w:themeFillShade="F2"/>
            <w:noWrap/>
          </w:tcPr>
          <w:p w14:paraId="23C8BE80" w14:textId="77777777" w:rsidR="00164A9C" w:rsidRPr="00164A9C" w:rsidRDefault="00164A9C" w:rsidP="000A1504">
            <w:pPr>
              <w:rPr>
                <w:rFonts w:ascii="Calibri" w:hAnsi="Calibri" w:cs="Calibri"/>
                <w:color w:val="000000" w:themeColor="text1"/>
                <w:sz w:val="18"/>
                <w:szCs w:val="18"/>
              </w:rPr>
            </w:pPr>
            <w:r w:rsidRPr="00164A9C">
              <w:rPr>
                <w:rFonts w:ascii="Calibri" w:hAnsi="Calibri" w:cs="Calibri"/>
                <w:color w:val="000000" w:themeColor="text1"/>
                <w:sz w:val="18"/>
                <w:szCs w:val="18"/>
              </w:rPr>
              <w:t>pn_postpartum_haem_secondary</w:t>
            </w:r>
          </w:p>
          <w:p w14:paraId="2D1E105A" w14:textId="6E6B41D0" w:rsidR="00164A9C" w:rsidRPr="00164A9C" w:rsidRDefault="00164A9C" w:rsidP="000A1504">
            <w:pPr>
              <w:rPr>
                <w:rFonts w:ascii="Calibri" w:hAnsi="Calibri" w:cs="Calibri"/>
                <w:color w:val="000000" w:themeColor="text1"/>
                <w:sz w:val="18"/>
                <w:szCs w:val="18"/>
              </w:rPr>
            </w:pPr>
            <w:r w:rsidRPr="00164A9C">
              <w:rPr>
                <w:rFonts w:ascii="Calibri" w:hAnsi="Calibri" w:cs="Calibri"/>
                <w:color w:val="000000" w:themeColor="text1"/>
                <w:sz w:val="18"/>
                <w:szCs w:val="18"/>
              </w:rPr>
              <w:t>_treatment'</w:t>
            </w:r>
          </w:p>
        </w:tc>
        <w:tc>
          <w:tcPr>
            <w:tcW w:w="4425" w:type="dxa"/>
            <w:tcBorders>
              <w:top w:val="nil"/>
              <w:left w:val="nil"/>
              <w:bottom w:val="nil"/>
              <w:right w:val="nil"/>
            </w:tcBorders>
            <w:noWrap/>
          </w:tcPr>
          <w:p w14:paraId="400CDCD5" w14:textId="77777777" w:rsid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 xml:space="preserve">Whether this woman has received treatment for </w:t>
            </w:r>
            <w:r w:rsidR="00F41BE4">
              <w:rPr>
                <w:rFonts w:ascii="Calibri" w:hAnsi="Calibri" w:cs="Calibri"/>
                <w:color w:val="000000" w:themeColor="text1"/>
                <w:sz w:val="18"/>
                <w:szCs w:val="18"/>
              </w:rPr>
              <w:t>secondary PPH</w:t>
            </w:r>
          </w:p>
          <w:p w14:paraId="75661705" w14:textId="0DF9B7CD"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688E2236" w14:textId="77777777" w:rsidR="00164A9C" w:rsidRPr="004C17FA" w:rsidRDefault="00164A9C" w:rsidP="000A1504">
            <w:pPr>
              <w:rPr>
                <w:rFonts w:ascii="Calibri" w:hAnsi="Calibri" w:cs="Calibri"/>
                <w:color w:val="000000"/>
                <w:sz w:val="18"/>
                <w:szCs w:val="18"/>
              </w:rPr>
            </w:pPr>
          </w:p>
        </w:tc>
      </w:tr>
      <w:tr w:rsidR="00164A9C" w:rsidRPr="00A74EFF" w14:paraId="229745C5" w14:textId="77777777" w:rsidTr="00944B0A">
        <w:trPr>
          <w:trHeight w:val="21"/>
        </w:trPr>
        <w:tc>
          <w:tcPr>
            <w:tcW w:w="3088" w:type="dxa"/>
            <w:tcBorders>
              <w:top w:val="nil"/>
              <w:left w:val="nil"/>
              <w:bottom w:val="nil"/>
              <w:right w:val="nil"/>
            </w:tcBorders>
            <w:shd w:val="clear" w:color="auto" w:fill="F2F2F2" w:themeFill="background1" w:themeFillShade="F2"/>
            <w:noWrap/>
          </w:tcPr>
          <w:p w14:paraId="0E37AE2E" w14:textId="3CD70D45" w:rsidR="00164A9C" w:rsidRPr="00164A9C" w:rsidRDefault="00F41BE4" w:rsidP="000A1504">
            <w:pPr>
              <w:rPr>
                <w:rFonts w:ascii="Calibri" w:hAnsi="Calibri" w:cs="Calibri"/>
                <w:color w:val="000000" w:themeColor="text1"/>
                <w:sz w:val="18"/>
                <w:szCs w:val="18"/>
              </w:rPr>
            </w:pPr>
            <w:r>
              <w:rPr>
                <w:rFonts w:ascii="Calibri" w:hAnsi="Calibri" w:cs="Calibri"/>
                <w:color w:val="000000" w:themeColor="text1"/>
                <w:sz w:val="18"/>
                <w:szCs w:val="18"/>
              </w:rPr>
              <w:t>pn_sepsis_late_postpartum</w:t>
            </w:r>
          </w:p>
        </w:tc>
        <w:tc>
          <w:tcPr>
            <w:tcW w:w="4425" w:type="dxa"/>
            <w:tcBorders>
              <w:top w:val="nil"/>
              <w:left w:val="nil"/>
              <w:bottom w:val="nil"/>
              <w:right w:val="nil"/>
            </w:tcBorders>
            <w:noWrap/>
          </w:tcPr>
          <w:p w14:paraId="0A5ABDC1" w14:textId="77777777" w:rsid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 xml:space="preserve">Whether this woman is experiencing postnatal (day7+) </w:t>
            </w:r>
            <w:r w:rsidR="00F41BE4">
              <w:rPr>
                <w:rFonts w:ascii="Calibri" w:hAnsi="Calibri" w:cs="Calibri"/>
                <w:color w:val="000000" w:themeColor="text1"/>
                <w:sz w:val="18"/>
                <w:szCs w:val="18"/>
              </w:rPr>
              <w:t>sepsis</w:t>
            </w:r>
          </w:p>
          <w:p w14:paraId="0921D6F5" w14:textId="72538D25"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724029FA" w14:textId="77777777" w:rsidR="00164A9C" w:rsidRPr="004C17FA" w:rsidRDefault="00164A9C" w:rsidP="000A1504">
            <w:pPr>
              <w:rPr>
                <w:rFonts w:ascii="Calibri" w:hAnsi="Calibri" w:cs="Calibri"/>
                <w:color w:val="000000"/>
                <w:sz w:val="18"/>
                <w:szCs w:val="18"/>
              </w:rPr>
            </w:pPr>
          </w:p>
        </w:tc>
      </w:tr>
      <w:tr w:rsidR="00164A9C" w:rsidRPr="00A74EFF" w14:paraId="10C70556" w14:textId="77777777" w:rsidTr="00944B0A">
        <w:trPr>
          <w:trHeight w:val="21"/>
        </w:trPr>
        <w:tc>
          <w:tcPr>
            <w:tcW w:w="3088" w:type="dxa"/>
            <w:tcBorders>
              <w:top w:val="nil"/>
              <w:left w:val="nil"/>
              <w:bottom w:val="nil"/>
              <w:right w:val="nil"/>
            </w:tcBorders>
            <w:shd w:val="clear" w:color="auto" w:fill="F2F2F2" w:themeFill="background1" w:themeFillShade="F2"/>
            <w:noWrap/>
          </w:tcPr>
          <w:p w14:paraId="5F36131E" w14:textId="1A2C26AA" w:rsidR="00164A9C" w:rsidRPr="00164A9C" w:rsidRDefault="00164A9C" w:rsidP="000A1504">
            <w:pPr>
              <w:rPr>
                <w:rFonts w:ascii="Calibri" w:hAnsi="Calibri" w:cs="Calibri"/>
                <w:color w:val="000000" w:themeColor="text1"/>
                <w:sz w:val="18"/>
                <w:szCs w:val="18"/>
              </w:rPr>
            </w:pPr>
            <w:r w:rsidRPr="00164A9C">
              <w:rPr>
                <w:rFonts w:ascii="Calibri" w:hAnsi="Calibri" w:cs="Calibri"/>
                <w:color w:val="000000" w:themeColor="text1"/>
                <w:sz w:val="18"/>
                <w:szCs w:val="18"/>
              </w:rPr>
              <w:t>pn_sepsis_late_postpartum_trea</w:t>
            </w:r>
            <w:r w:rsidR="00F41BE4">
              <w:rPr>
                <w:rFonts w:ascii="Calibri" w:hAnsi="Calibri" w:cs="Calibri"/>
                <w:color w:val="000000" w:themeColor="text1"/>
                <w:sz w:val="18"/>
                <w:szCs w:val="18"/>
              </w:rPr>
              <w:t>tment</w:t>
            </w:r>
          </w:p>
        </w:tc>
        <w:tc>
          <w:tcPr>
            <w:tcW w:w="4425" w:type="dxa"/>
            <w:tcBorders>
              <w:top w:val="nil"/>
              <w:left w:val="nil"/>
              <w:bottom w:val="nil"/>
              <w:right w:val="nil"/>
            </w:tcBorders>
            <w:noWrap/>
          </w:tcPr>
          <w:p w14:paraId="79CB8792" w14:textId="77777777" w:rsid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Whether this woman has received treatment for postpartum sepsis</w:t>
            </w:r>
          </w:p>
          <w:p w14:paraId="38884270" w14:textId="76ECE9A0"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5E6982AD" w14:textId="77777777" w:rsidR="00164A9C" w:rsidRPr="004C17FA" w:rsidRDefault="00164A9C" w:rsidP="000A1504">
            <w:pPr>
              <w:rPr>
                <w:rFonts w:ascii="Calibri" w:hAnsi="Calibri" w:cs="Calibri"/>
                <w:color w:val="000000"/>
                <w:sz w:val="18"/>
                <w:szCs w:val="18"/>
              </w:rPr>
            </w:pPr>
          </w:p>
        </w:tc>
      </w:tr>
      <w:tr w:rsidR="00164A9C" w:rsidRPr="00A74EFF" w14:paraId="0F109177" w14:textId="77777777" w:rsidTr="00944B0A">
        <w:trPr>
          <w:trHeight w:val="21"/>
        </w:trPr>
        <w:tc>
          <w:tcPr>
            <w:tcW w:w="3088" w:type="dxa"/>
            <w:tcBorders>
              <w:top w:val="nil"/>
              <w:left w:val="nil"/>
              <w:bottom w:val="nil"/>
              <w:right w:val="nil"/>
            </w:tcBorders>
            <w:shd w:val="clear" w:color="auto" w:fill="F2F2F2" w:themeFill="background1" w:themeFillShade="F2"/>
            <w:noWrap/>
          </w:tcPr>
          <w:p w14:paraId="0D1C8744" w14:textId="2786BC27" w:rsidR="00164A9C" w:rsidRPr="00164A9C" w:rsidRDefault="00F41BE4" w:rsidP="000A1504">
            <w:pPr>
              <w:rPr>
                <w:rFonts w:ascii="Calibri" w:hAnsi="Calibri" w:cs="Calibri"/>
                <w:color w:val="000000" w:themeColor="text1"/>
                <w:sz w:val="18"/>
                <w:szCs w:val="18"/>
              </w:rPr>
            </w:pPr>
            <w:r>
              <w:rPr>
                <w:rFonts w:ascii="Calibri" w:hAnsi="Calibri" w:cs="Calibri"/>
                <w:color w:val="000000" w:themeColor="text1"/>
                <w:sz w:val="18"/>
                <w:szCs w:val="18"/>
              </w:rPr>
              <w:t>pn_maternal_pp_infection</w:t>
            </w:r>
          </w:p>
        </w:tc>
        <w:tc>
          <w:tcPr>
            <w:tcW w:w="4425" w:type="dxa"/>
            <w:tcBorders>
              <w:top w:val="nil"/>
              <w:left w:val="nil"/>
              <w:bottom w:val="nil"/>
              <w:right w:val="nil"/>
            </w:tcBorders>
            <w:noWrap/>
          </w:tcPr>
          <w:p w14:paraId="41D64A4E" w14:textId="77777777" w:rsidR="00164A9C" w:rsidRDefault="00F41BE4" w:rsidP="00164A9C">
            <w:pPr>
              <w:rPr>
                <w:rFonts w:ascii="Calibri" w:hAnsi="Calibri" w:cs="Calibri"/>
                <w:color w:val="000000" w:themeColor="text1"/>
                <w:sz w:val="18"/>
                <w:szCs w:val="18"/>
              </w:rPr>
            </w:pPr>
            <w:r>
              <w:rPr>
                <w:rFonts w:ascii="Calibri" w:hAnsi="Calibri" w:cs="Calibri"/>
                <w:color w:val="000000" w:themeColor="text1"/>
                <w:sz w:val="18"/>
                <w:szCs w:val="18"/>
              </w:rPr>
              <w:t>bitset column for infection</w:t>
            </w:r>
          </w:p>
          <w:p w14:paraId="1A7DF507" w14:textId="101CF456"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6D2DBF4B" w14:textId="77777777" w:rsidR="00164A9C" w:rsidRPr="004C17FA" w:rsidRDefault="00164A9C" w:rsidP="000A1504">
            <w:pPr>
              <w:rPr>
                <w:rFonts w:ascii="Calibri" w:hAnsi="Calibri" w:cs="Calibri"/>
                <w:color w:val="000000"/>
                <w:sz w:val="18"/>
                <w:szCs w:val="18"/>
              </w:rPr>
            </w:pPr>
          </w:p>
        </w:tc>
      </w:tr>
      <w:tr w:rsidR="00164A9C" w:rsidRPr="00A74EFF" w14:paraId="6BC0B836" w14:textId="77777777" w:rsidTr="00944B0A">
        <w:trPr>
          <w:trHeight w:val="21"/>
        </w:trPr>
        <w:tc>
          <w:tcPr>
            <w:tcW w:w="3088" w:type="dxa"/>
            <w:tcBorders>
              <w:top w:val="nil"/>
              <w:left w:val="nil"/>
              <w:bottom w:val="nil"/>
              <w:right w:val="nil"/>
            </w:tcBorders>
            <w:shd w:val="clear" w:color="auto" w:fill="F2F2F2" w:themeFill="background1" w:themeFillShade="F2"/>
            <w:noWrap/>
          </w:tcPr>
          <w:p w14:paraId="4DB574CE" w14:textId="1E1789F0" w:rsidR="00164A9C" w:rsidRPr="00164A9C" w:rsidRDefault="00164A9C" w:rsidP="000A1504">
            <w:pPr>
              <w:rPr>
                <w:rFonts w:ascii="Calibri" w:hAnsi="Calibri" w:cs="Calibri"/>
                <w:color w:val="000000" w:themeColor="text1"/>
                <w:sz w:val="18"/>
                <w:szCs w:val="18"/>
              </w:rPr>
            </w:pPr>
            <w:r w:rsidRPr="00164A9C">
              <w:rPr>
                <w:rFonts w:ascii="Calibri" w:hAnsi="Calibri" w:cs="Calibri"/>
                <w:color w:val="000000" w:themeColor="text1"/>
                <w:sz w:val="18"/>
                <w:szCs w:val="18"/>
              </w:rPr>
              <w:t>pn_obstetric_fi</w:t>
            </w:r>
            <w:r w:rsidR="00F41BE4">
              <w:rPr>
                <w:rFonts w:ascii="Calibri" w:hAnsi="Calibri" w:cs="Calibri"/>
                <w:color w:val="000000" w:themeColor="text1"/>
                <w:sz w:val="18"/>
                <w:szCs w:val="18"/>
              </w:rPr>
              <w:t>stula</w:t>
            </w:r>
          </w:p>
        </w:tc>
        <w:tc>
          <w:tcPr>
            <w:tcW w:w="4425" w:type="dxa"/>
            <w:tcBorders>
              <w:top w:val="nil"/>
              <w:left w:val="nil"/>
              <w:bottom w:val="nil"/>
              <w:right w:val="nil"/>
            </w:tcBorders>
            <w:noWrap/>
          </w:tcPr>
          <w:p w14:paraId="7097F16C" w14:textId="77777777" w:rsid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Type o</w:t>
            </w:r>
            <w:r w:rsidR="00F41BE4">
              <w:rPr>
                <w:rFonts w:ascii="Calibri" w:hAnsi="Calibri" w:cs="Calibri"/>
                <w:color w:val="000000" w:themeColor="text1"/>
                <w:sz w:val="18"/>
                <w:szCs w:val="18"/>
              </w:rPr>
              <w:t xml:space="preserve">f fistula developed after birth </w:t>
            </w:r>
            <w:r w:rsidRPr="00164A9C">
              <w:rPr>
                <w:rFonts w:ascii="Calibri" w:hAnsi="Calibri" w:cs="Calibri"/>
                <w:color w:val="000000" w:themeColor="text1"/>
                <w:sz w:val="18"/>
                <w:szCs w:val="18"/>
              </w:rPr>
              <w:t>( 'none', 'vesicovaginal', 'rectovaginal')</w:t>
            </w:r>
          </w:p>
          <w:p w14:paraId="454EE8AA" w14:textId="081389BE"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7F4095D3" w14:textId="77777777" w:rsidR="00164A9C" w:rsidRPr="004C17FA" w:rsidRDefault="00164A9C" w:rsidP="000A1504">
            <w:pPr>
              <w:rPr>
                <w:rFonts w:ascii="Calibri" w:hAnsi="Calibri" w:cs="Calibri"/>
                <w:color w:val="000000"/>
                <w:sz w:val="18"/>
                <w:szCs w:val="18"/>
              </w:rPr>
            </w:pPr>
          </w:p>
        </w:tc>
      </w:tr>
      <w:tr w:rsidR="00164A9C" w:rsidRPr="00A74EFF" w14:paraId="508B75FD" w14:textId="77777777" w:rsidTr="00944B0A">
        <w:trPr>
          <w:trHeight w:val="21"/>
        </w:trPr>
        <w:tc>
          <w:tcPr>
            <w:tcW w:w="3088" w:type="dxa"/>
            <w:tcBorders>
              <w:top w:val="nil"/>
              <w:left w:val="nil"/>
              <w:bottom w:val="nil"/>
              <w:right w:val="nil"/>
            </w:tcBorders>
            <w:shd w:val="clear" w:color="auto" w:fill="F2F2F2" w:themeFill="background1" w:themeFillShade="F2"/>
            <w:noWrap/>
          </w:tcPr>
          <w:p w14:paraId="45177291" w14:textId="06308AB9" w:rsidR="00164A9C" w:rsidRPr="00164A9C" w:rsidRDefault="00F41BE4" w:rsidP="000A1504">
            <w:pPr>
              <w:rPr>
                <w:rFonts w:ascii="Calibri" w:hAnsi="Calibri" w:cs="Calibri"/>
                <w:color w:val="000000" w:themeColor="text1"/>
                <w:sz w:val="18"/>
                <w:szCs w:val="18"/>
              </w:rPr>
            </w:pPr>
            <w:r>
              <w:rPr>
                <w:rFonts w:ascii="Calibri" w:hAnsi="Calibri" w:cs="Calibri"/>
                <w:color w:val="000000" w:themeColor="text1"/>
                <w:sz w:val="18"/>
                <w:szCs w:val="18"/>
              </w:rPr>
              <w:t>pn_sepsis_early_neonatal</w:t>
            </w:r>
          </w:p>
        </w:tc>
        <w:tc>
          <w:tcPr>
            <w:tcW w:w="4425" w:type="dxa"/>
            <w:tcBorders>
              <w:top w:val="nil"/>
              <w:left w:val="nil"/>
              <w:bottom w:val="nil"/>
              <w:right w:val="nil"/>
            </w:tcBorders>
            <w:noWrap/>
          </w:tcPr>
          <w:p w14:paraId="1A5B6521" w14:textId="77777777" w:rsid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 xml:space="preserve">Whether this neonate has developed early onset neonatal </w:t>
            </w:r>
            <w:r w:rsidR="00F41BE4">
              <w:rPr>
                <w:rFonts w:ascii="Calibri" w:hAnsi="Calibri" w:cs="Calibri"/>
                <w:color w:val="000000" w:themeColor="text1"/>
                <w:sz w:val="18"/>
                <w:szCs w:val="18"/>
              </w:rPr>
              <w:t xml:space="preserve"> sepsis during week one of life</w:t>
            </w:r>
          </w:p>
          <w:p w14:paraId="2F92ED0F" w14:textId="076720A1"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329D1DC2" w14:textId="77777777" w:rsidR="00164A9C" w:rsidRPr="004C17FA" w:rsidRDefault="00164A9C" w:rsidP="000A1504">
            <w:pPr>
              <w:rPr>
                <w:rFonts w:ascii="Calibri" w:hAnsi="Calibri" w:cs="Calibri"/>
                <w:color w:val="000000"/>
                <w:sz w:val="18"/>
                <w:szCs w:val="18"/>
              </w:rPr>
            </w:pPr>
          </w:p>
        </w:tc>
      </w:tr>
      <w:tr w:rsidR="00164A9C" w:rsidRPr="00A74EFF" w14:paraId="02E10CF5" w14:textId="77777777" w:rsidTr="00944B0A">
        <w:trPr>
          <w:trHeight w:val="21"/>
        </w:trPr>
        <w:tc>
          <w:tcPr>
            <w:tcW w:w="3088" w:type="dxa"/>
            <w:tcBorders>
              <w:top w:val="nil"/>
              <w:left w:val="nil"/>
              <w:bottom w:val="nil"/>
              <w:right w:val="nil"/>
            </w:tcBorders>
            <w:shd w:val="clear" w:color="auto" w:fill="F2F2F2" w:themeFill="background1" w:themeFillShade="F2"/>
            <w:noWrap/>
          </w:tcPr>
          <w:p w14:paraId="0CEDEC55" w14:textId="0D6F3EBE" w:rsidR="00164A9C" w:rsidRPr="00164A9C" w:rsidRDefault="00F41BE4" w:rsidP="000A1504">
            <w:pPr>
              <w:rPr>
                <w:rFonts w:ascii="Calibri" w:hAnsi="Calibri" w:cs="Calibri"/>
                <w:color w:val="000000" w:themeColor="text1"/>
                <w:sz w:val="18"/>
                <w:szCs w:val="18"/>
              </w:rPr>
            </w:pPr>
            <w:r>
              <w:rPr>
                <w:rFonts w:ascii="Calibri" w:hAnsi="Calibri" w:cs="Calibri"/>
                <w:color w:val="000000" w:themeColor="text1"/>
                <w:sz w:val="18"/>
                <w:szCs w:val="18"/>
              </w:rPr>
              <w:t>pn_sepsis_late_neonatal</w:t>
            </w:r>
          </w:p>
        </w:tc>
        <w:tc>
          <w:tcPr>
            <w:tcW w:w="4425" w:type="dxa"/>
            <w:tcBorders>
              <w:top w:val="nil"/>
              <w:left w:val="nil"/>
              <w:bottom w:val="nil"/>
              <w:right w:val="nil"/>
            </w:tcBorders>
            <w:noWrap/>
          </w:tcPr>
          <w:p w14:paraId="1A130E75" w14:textId="729FC949" w:rsid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 xml:space="preserve">Whether this neonate has developed late neonatal sepsis </w:t>
            </w:r>
            <w:r w:rsidR="00F41BE4">
              <w:rPr>
                <w:rFonts w:ascii="Calibri" w:hAnsi="Calibri" w:cs="Calibri"/>
                <w:color w:val="000000" w:themeColor="text1"/>
                <w:sz w:val="18"/>
                <w:szCs w:val="18"/>
              </w:rPr>
              <w:t>following discharge</w:t>
            </w:r>
          </w:p>
          <w:p w14:paraId="1E9038F2" w14:textId="3F437602"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1DE55B02" w14:textId="77777777" w:rsidR="00164A9C" w:rsidRPr="004C17FA" w:rsidRDefault="00164A9C" w:rsidP="000A1504">
            <w:pPr>
              <w:rPr>
                <w:rFonts w:ascii="Calibri" w:hAnsi="Calibri" w:cs="Calibri"/>
                <w:color w:val="000000"/>
                <w:sz w:val="18"/>
                <w:szCs w:val="18"/>
              </w:rPr>
            </w:pPr>
          </w:p>
        </w:tc>
      </w:tr>
      <w:tr w:rsidR="00164A9C" w:rsidRPr="00A74EFF" w14:paraId="041B4F29" w14:textId="77777777" w:rsidTr="00944B0A">
        <w:trPr>
          <w:trHeight w:val="21"/>
        </w:trPr>
        <w:tc>
          <w:tcPr>
            <w:tcW w:w="3088" w:type="dxa"/>
            <w:tcBorders>
              <w:top w:val="nil"/>
              <w:left w:val="nil"/>
              <w:bottom w:val="nil"/>
              <w:right w:val="nil"/>
            </w:tcBorders>
            <w:shd w:val="clear" w:color="auto" w:fill="F2F2F2" w:themeFill="background1" w:themeFillShade="F2"/>
            <w:noWrap/>
          </w:tcPr>
          <w:p w14:paraId="4DF00D66" w14:textId="041A8A25" w:rsidR="00164A9C" w:rsidRPr="00164A9C" w:rsidRDefault="00F41BE4" w:rsidP="000A1504">
            <w:pPr>
              <w:rPr>
                <w:rFonts w:ascii="Calibri" w:hAnsi="Calibri" w:cs="Calibri"/>
                <w:color w:val="000000" w:themeColor="text1"/>
                <w:sz w:val="18"/>
                <w:szCs w:val="18"/>
              </w:rPr>
            </w:pPr>
            <w:r>
              <w:rPr>
                <w:rFonts w:ascii="Calibri" w:hAnsi="Calibri" w:cs="Calibri"/>
                <w:color w:val="000000" w:themeColor="text1"/>
                <w:sz w:val="18"/>
                <w:szCs w:val="18"/>
              </w:rPr>
              <w:t>pn_neonatal_sepsis_disab</w:t>
            </w:r>
          </w:p>
        </w:tc>
        <w:tc>
          <w:tcPr>
            <w:tcW w:w="4425" w:type="dxa"/>
            <w:tcBorders>
              <w:top w:val="nil"/>
              <w:left w:val="nil"/>
              <w:bottom w:val="nil"/>
              <w:right w:val="nil"/>
            </w:tcBorders>
            <w:noWrap/>
          </w:tcPr>
          <w:p w14:paraId="613761C7" w14:textId="77777777" w:rsidR="00F41BE4"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Level of disability experience from a neonate post sepsis', ('none', 'mild_motor_and_cog'</w:t>
            </w:r>
            <w:r w:rsidR="00F41BE4">
              <w:rPr>
                <w:rFonts w:ascii="Calibri" w:hAnsi="Calibri" w:cs="Calibri"/>
                <w:color w:val="000000" w:themeColor="text1"/>
                <w:sz w:val="18"/>
                <w:szCs w:val="18"/>
              </w:rPr>
              <w:t xml:space="preserve">, </w:t>
            </w:r>
            <w:r w:rsidRPr="00164A9C">
              <w:rPr>
                <w:rFonts w:ascii="Calibri" w:hAnsi="Calibri" w:cs="Calibri"/>
                <w:color w:val="000000" w:themeColor="text1"/>
                <w:sz w:val="18"/>
                <w:szCs w:val="18"/>
              </w:rPr>
              <w:t>'mild_motor', 'moderate_motor', 'severe_motor')</w:t>
            </w:r>
          </w:p>
          <w:p w14:paraId="0D3ED8D3" w14:textId="220627F3"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3F10D72A" w14:textId="77777777" w:rsidR="00164A9C" w:rsidRPr="004C17FA" w:rsidRDefault="00164A9C" w:rsidP="000A1504">
            <w:pPr>
              <w:rPr>
                <w:rFonts w:ascii="Calibri" w:hAnsi="Calibri" w:cs="Calibri"/>
                <w:color w:val="000000"/>
                <w:sz w:val="18"/>
                <w:szCs w:val="18"/>
              </w:rPr>
            </w:pPr>
          </w:p>
        </w:tc>
      </w:tr>
      <w:tr w:rsidR="00164A9C" w:rsidRPr="00A74EFF" w14:paraId="5E60B768" w14:textId="77777777" w:rsidTr="00944B0A">
        <w:trPr>
          <w:trHeight w:val="21"/>
        </w:trPr>
        <w:tc>
          <w:tcPr>
            <w:tcW w:w="3088" w:type="dxa"/>
            <w:tcBorders>
              <w:top w:val="nil"/>
              <w:left w:val="nil"/>
              <w:bottom w:val="nil"/>
              <w:right w:val="nil"/>
            </w:tcBorders>
            <w:shd w:val="clear" w:color="auto" w:fill="F2F2F2" w:themeFill="background1" w:themeFillShade="F2"/>
            <w:noWrap/>
          </w:tcPr>
          <w:p w14:paraId="24705C81" w14:textId="0672C519" w:rsidR="00164A9C" w:rsidRPr="00164A9C" w:rsidRDefault="00F41BE4" w:rsidP="000A1504">
            <w:pPr>
              <w:rPr>
                <w:rFonts w:ascii="Calibri" w:hAnsi="Calibri" w:cs="Calibri"/>
                <w:color w:val="000000" w:themeColor="text1"/>
                <w:sz w:val="18"/>
                <w:szCs w:val="18"/>
              </w:rPr>
            </w:pPr>
            <w:r>
              <w:rPr>
                <w:rFonts w:ascii="Calibri" w:hAnsi="Calibri" w:cs="Calibri"/>
                <w:color w:val="000000" w:themeColor="text1"/>
                <w:sz w:val="18"/>
                <w:szCs w:val="18"/>
              </w:rPr>
              <w:t>pn_sepsis_neonatal_inj_abx</w:t>
            </w:r>
          </w:p>
        </w:tc>
        <w:tc>
          <w:tcPr>
            <w:tcW w:w="4425" w:type="dxa"/>
            <w:tcBorders>
              <w:top w:val="nil"/>
              <w:left w:val="nil"/>
              <w:bottom w:val="nil"/>
              <w:right w:val="nil"/>
            </w:tcBorders>
            <w:noWrap/>
          </w:tcPr>
          <w:p w14:paraId="5C122CCD" w14:textId="77777777" w:rsid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Whether this neonate has received injectable antibiotics as treatment for late onset sepsis</w:t>
            </w:r>
          </w:p>
          <w:p w14:paraId="05998294" w14:textId="7627486B"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6D3326B4" w14:textId="77777777" w:rsidR="00164A9C" w:rsidRPr="004C17FA" w:rsidRDefault="00164A9C" w:rsidP="000A1504">
            <w:pPr>
              <w:rPr>
                <w:rFonts w:ascii="Calibri" w:hAnsi="Calibri" w:cs="Calibri"/>
                <w:color w:val="000000"/>
                <w:sz w:val="18"/>
                <w:szCs w:val="18"/>
              </w:rPr>
            </w:pPr>
          </w:p>
        </w:tc>
      </w:tr>
      <w:tr w:rsidR="00164A9C" w:rsidRPr="00A74EFF" w14:paraId="2CCAB935" w14:textId="77777777" w:rsidTr="00944B0A">
        <w:trPr>
          <w:trHeight w:val="21"/>
        </w:trPr>
        <w:tc>
          <w:tcPr>
            <w:tcW w:w="3088" w:type="dxa"/>
            <w:tcBorders>
              <w:top w:val="nil"/>
              <w:left w:val="nil"/>
              <w:bottom w:val="nil"/>
              <w:right w:val="nil"/>
            </w:tcBorders>
            <w:shd w:val="clear" w:color="auto" w:fill="F2F2F2" w:themeFill="background1" w:themeFillShade="F2"/>
            <w:noWrap/>
          </w:tcPr>
          <w:p w14:paraId="6A3F40B9" w14:textId="04F5750D" w:rsidR="00164A9C" w:rsidRPr="00164A9C" w:rsidRDefault="00164A9C" w:rsidP="000A1504">
            <w:pPr>
              <w:rPr>
                <w:rFonts w:ascii="Calibri" w:hAnsi="Calibri" w:cs="Calibri"/>
                <w:color w:val="000000" w:themeColor="text1"/>
                <w:sz w:val="18"/>
                <w:szCs w:val="18"/>
              </w:rPr>
            </w:pPr>
            <w:r w:rsidRPr="00164A9C">
              <w:rPr>
                <w:rFonts w:ascii="Calibri" w:hAnsi="Calibri" w:cs="Calibri"/>
                <w:color w:val="000000" w:themeColor="text1"/>
                <w:sz w:val="18"/>
                <w:szCs w:val="18"/>
              </w:rPr>
              <w:t>pn</w:t>
            </w:r>
            <w:r w:rsidR="00F41BE4">
              <w:rPr>
                <w:rFonts w:ascii="Calibri" w:hAnsi="Calibri" w:cs="Calibri"/>
                <w:color w:val="000000" w:themeColor="text1"/>
                <w:sz w:val="18"/>
                <w:szCs w:val="18"/>
              </w:rPr>
              <w:t>_sepsis_neonatal_full_supp_care</w:t>
            </w:r>
          </w:p>
        </w:tc>
        <w:tc>
          <w:tcPr>
            <w:tcW w:w="4425" w:type="dxa"/>
            <w:tcBorders>
              <w:top w:val="nil"/>
              <w:left w:val="nil"/>
              <w:bottom w:val="nil"/>
              <w:right w:val="nil"/>
            </w:tcBorders>
            <w:noWrap/>
          </w:tcPr>
          <w:p w14:paraId="2BCC6A01" w14:textId="77777777" w:rsid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 xml:space="preserve">Whether this neonate has received full supportive care as </w:t>
            </w:r>
            <w:r w:rsidR="00F41BE4">
              <w:rPr>
                <w:rFonts w:ascii="Calibri" w:hAnsi="Calibri" w:cs="Calibri"/>
                <w:color w:val="000000" w:themeColor="text1"/>
                <w:sz w:val="18"/>
                <w:szCs w:val="18"/>
              </w:rPr>
              <w:t>treatment for late onset sepsis</w:t>
            </w:r>
          </w:p>
          <w:p w14:paraId="17A2D898" w14:textId="12A7008A"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5D5BFB76" w14:textId="77777777" w:rsidR="00164A9C" w:rsidRPr="004C17FA" w:rsidRDefault="00164A9C" w:rsidP="000A1504">
            <w:pPr>
              <w:rPr>
                <w:rFonts w:ascii="Calibri" w:hAnsi="Calibri" w:cs="Calibri"/>
                <w:color w:val="000000"/>
                <w:sz w:val="18"/>
                <w:szCs w:val="18"/>
              </w:rPr>
            </w:pPr>
          </w:p>
        </w:tc>
      </w:tr>
      <w:tr w:rsidR="00164A9C" w:rsidRPr="00A74EFF" w14:paraId="40C18C01" w14:textId="77777777" w:rsidTr="00944B0A">
        <w:trPr>
          <w:trHeight w:val="21"/>
        </w:trPr>
        <w:tc>
          <w:tcPr>
            <w:tcW w:w="3088" w:type="dxa"/>
            <w:tcBorders>
              <w:top w:val="nil"/>
              <w:left w:val="nil"/>
              <w:bottom w:val="nil"/>
              <w:right w:val="nil"/>
            </w:tcBorders>
            <w:shd w:val="clear" w:color="auto" w:fill="F2F2F2" w:themeFill="background1" w:themeFillShade="F2"/>
            <w:noWrap/>
          </w:tcPr>
          <w:p w14:paraId="00ECF1AA" w14:textId="04CE0E10" w:rsidR="00164A9C" w:rsidRPr="00164A9C" w:rsidRDefault="00164A9C" w:rsidP="000A1504">
            <w:pPr>
              <w:rPr>
                <w:rFonts w:ascii="Calibri" w:hAnsi="Calibri" w:cs="Calibri"/>
                <w:color w:val="000000" w:themeColor="text1"/>
                <w:sz w:val="18"/>
                <w:szCs w:val="18"/>
              </w:rPr>
            </w:pPr>
            <w:r w:rsidRPr="00164A9C">
              <w:rPr>
                <w:rFonts w:ascii="Calibri" w:hAnsi="Calibri" w:cs="Calibri"/>
                <w:color w:val="000000" w:themeColor="text1"/>
                <w:sz w:val="18"/>
                <w:szCs w:val="18"/>
              </w:rPr>
              <w:t>pn_d</w:t>
            </w:r>
            <w:r w:rsidR="00F41BE4">
              <w:rPr>
                <w:rFonts w:ascii="Calibri" w:hAnsi="Calibri" w:cs="Calibri"/>
                <w:color w:val="000000" w:themeColor="text1"/>
                <w:sz w:val="18"/>
                <w:szCs w:val="18"/>
              </w:rPr>
              <w:t>eficiencies_following_pregnancy</w:t>
            </w:r>
          </w:p>
        </w:tc>
        <w:tc>
          <w:tcPr>
            <w:tcW w:w="4425" w:type="dxa"/>
            <w:tcBorders>
              <w:top w:val="nil"/>
              <w:left w:val="nil"/>
              <w:bottom w:val="nil"/>
              <w:right w:val="nil"/>
            </w:tcBorders>
            <w:noWrap/>
          </w:tcPr>
          <w:p w14:paraId="653A0191" w14:textId="77777777" w:rsid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bitset column, stores types of anaemia causing d</w:t>
            </w:r>
            <w:r w:rsidR="00F41BE4">
              <w:rPr>
                <w:rFonts w:ascii="Calibri" w:hAnsi="Calibri" w:cs="Calibri"/>
                <w:color w:val="000000" w:themeColor="text1"/>
                <w:sz w:val="18"/>
                <w:szCs w:val="18"/>
              </w:rPr>
              <w:t>eficiencies following pregnancy</w:t>
            </w:r>
          </w:p>
          <w:p w14:paraId="1CFFC21A" w14:textId="11CC49DB"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1AC633E5" w14:textId="77777777" w:rsidR="00164A9C" w:rsidRPr="004C17FA" w:rsidRDefault="00164A9C" w:rsidP="000A1504">
            <w:pPr>
              <w:rPr>
                <w:rFonts w:ascii="Calibri" w:hAnsi="Calibri" w:cs="Calibri"/>
                <w:color w:val="000000"/>
                <w:sz w:val="18"/>
                <w:szCs w:val="18"/>
              </w:rPr>
            </w:pPr>
          </w:p>
        </w:tc>
      </w:tr>
      <w:tr w:rsidR="00164A9C" w:rsidRPr="00A74EFF" w14:paraId="73697165" w14:textId="77777777" w:rsidTr="00944B0A">
        <w:trPr>
          <w:trHeight w:val="21"/>
        </w:trPr>
        <w:tc>
          <w:tcPr>
            <w:tcW w:w="3088" w:type="dxa"/>
            <w:tcBorders>
              <w:top w:val="nil"/>
              <w:left w:val="nil"/>
              <w:bottom w:val="nil"/>
              <w:right w:val="nil"/>
            </w:tcBorders>
            <w:shd w:val="clear" w:color="auto" w:fill="F2F2F2" w:themeFill="background1" w:themeFillShade="F2"/>
            <w:noWrap/>
          </w:tcPr>
          <w:p w14:paraId="0DD41C67" w14:textId="05ED359C" w:rsidR="00164A9C" w:rsidRPr="00164A9C" w:rsidRDefault="00F41BE4" w:rsidP="000A1504">
            <w:pPr>
              <w:rPr>
                <w:rFonts w:ascii="Calibri" w:hAnsi="Calibri" w:cs="Calibri"/>
                <w:color w:val="000000" w:themeColor="text1"/>
                <w:sz w:val="18"/>
                <w:szCs w:val="18"/>
              </w:rPr>
            </w:pPr>
            <w:r>
              <w:rPr>
                <w:rFonts w:ascii="Calibri" w:hAnsi="Calibri" w:cs="Calibri"/>
                <w:color w:val="000000" w:themeColor="text1"/>
                <w:sz w:val="18"/>
                <w:szCs w:val="18"/>
              </w:rPr>
              <w:t>pn_anaemia_following_pregnancy</w:t>
            </w:r>
          </w:p>
        </w:tc>
        <w:tc>
          <w:tcPr>
            <w:tcW w:w="4425" w:type="dxa"/>
            <w:tcBorders>
              <w:top w:val="nil"/>
              <w:left w:val="nil"/>
              <w:bottom w:val="nil"/>
              <w:right w:val="nil"/>
            </w:tcBorders>
            <w:noWrap/>
          </w:tcPr>
          <w:p w14:paraId="1C98178D" w14:textId="77777777" w:rsid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severity</w:t>
            </w:r>
            <w:r w:rsidR="00F41BE4">
              <w:rPr>
                <w:rFonts w:ascii="Calibri" w:hAnsi="Calibri" w:cs="Calibri"/>
                <w:color w:val="000000" w:themeColor="text1"/>
                <w:sz w:val="18"/>
                <w:szCs w:val="18"/>
              </w:rPr>
              <w:t xml:space="preserve"> of anaemia following pregnancy</w:t>
            </w:r>
            <w:r w:rsidRPr="00164A9C">
              <w:rPr>
                <w:rFonts w:ascii="Calibri" w:hAnsi="Calibri" w:cs="Calibri"/>
                <w:color w:val="000000" w:themeColor="text1"/>
                <w:sz w:val="18"/>
                <w:szCs w:val="18"/>
              </w:rPr>
              <w:t xml:space="preserve"> ( 'none', 'mild', 'moderate', 'severe')</w:t>
            </w:r>
          </w:p>
          <w:p w14:paraId="1D5255F0" w14:textId="02A55AC6" w:rsidR="00F41BE4" w:rsidRPr="00164A9C" w:rsidRDefault="00F41BE4" w:rsidP="00164A9C">
            <w:pPr>
              <w:rPr>
                <w:rFonts w:ascii="Calibri" w:hAnsi="Calibri" w:cs="Calibri"/>
                <w:color w:val="000000" w:themeColor="text1"/>
                <w:sz w:val="18"/>
                <w:szCs w:val="18"/>
              </w:rPr>
            </w:pPr>
          </w:p>
        </w:tc>
        <w:tc>
          <w:tcPr>
            <w:tcW w:w="2126" w:type="dxa"/>
            <w:tcBorders>
              <w:top w:val="nil"/>
              <w:left w:val="nil"/>
              <w:bottom w:val="nil"/>
              <w:right w:val="nil"/>
            </w:tcBorders>
            <w:shd w:val="clear" w:color="auto" w:fill="F2F2F2" w:themeFill="background1" w:themeFillShade="F2"/>
            <w:noWrap/>
          </w:tcPr>
          <w:p w14:paraId="7AB7ACB4" w14:textId="77777777" w:rsidR="00164A9C" w:rsidRPr="004C17FA" w:rsidRDefault="00164A9C" w:rsidP="000A1504">
            <w:pPr>
              <w:rPr>
                <w:rFonts w:ascii="Calibri" w:hAnsi="Calibri" w:cs="Calibri"/>
                <w:color w:val="000000"/>
                <w:sz w:val="18"/>
                <w:szCs w:val="18"/>
              </w:rPr>
            </w:pPr>
          </w:p>
        </w:tc>
      </w:tr>
      <w:tr w:rsidR="00164A9C" w:rsidRPr="00A74EFF" w14:paraId="0C19BD65" w14:textId="77777777" w:rsidTr="00944B0A">
        <w:trPr>
          <w:trHeight w:val="21"/>
        </w:trPr>
        <w:tc>
          <w:tcPr>
            <w:tcW w:w="3088" w:type="dxa"/>
            <w:tcBorders>
              <w:top w:val="nil"/>
              <w:left w:val="nil"/>
              <w:bottom w:val="nil"/>
              <w:right w:val="nil"/>
            </w:tcBorders>
            <w:shd w:val="clear" w:color="auto" w:fill="F2F2F2" w:themeFill="background1" w:themeFillShade="F2"/>
            <w:noWrap/>
          </w:tcPr>
          <w:p w14:paraId="3D433CC4" w14:textId="2A7F2E48" w:rsidR="00164A9C" w:rsidRPr="00164A9C" w:rsidRDefault="00164A9C" w:rsidP="000A1504">
            <w:pPr>
              <w:rPr>
                <w:rFonts w:ascii="Calibri" w:hAnsi="Calibri" w:cs="Calibri"/>
                <w:color w:val="000000" w:themeColor="text1"/>
                <w:sz w:val="18"/>
                <w:szCs w:val="18"/>
              </w:rPr>
            </w:pPr>
            <w:r w:rsidRPr="00164A9C">
              <w:rPr>
                <w:rFonts w:ascii="Calibri" w:hAnsi="Calibri" w:cs="Calibri"/>
                <w:color w:val="000000" w:themeColor="text1"/>
                <w:sz w:val="18"/>
                <w:szCs w:val="18"/>
              </w:rPr>
              <w:lastRenderedPageBreak/>
              <w:t>pn_emergency</w:t>
            </w:r>
            <w:r w:rsidR="00F41BE4">
              <w:rPr>
                <w:rFonts w:ascii="Calibri" w:hAnsi="Calibri" w:cs="Calibri"/>
                <w:color w:val="000000" w:themeColor="text1"/>
                <w:sz w:val="18"/>
                <w:szCs w:val="18"/>
              </w:rPr>
              <w:t>_event_mother</w:t>
            </w:r>
          </w:p>
        </w:tc>
        <w:tc>
          <w:tcPr>
            <w:tcW w:w="4425" w:type="dxa"/>
            <w:tcBorders>
              <w:top w:val="nil"/>
              <w:left w:val="nil"/>
              <w:bottom w:val="nil"/>
              <w:right w:val="nil"/>
            </w:tcBorders>
            <w:noWrap/>
          </w:tcPr>
          <w:p w14:paraId="577F12D4" w14:textId="03B99C14" w:rsidR="00164A9C" w:rsidRPr="00164A9C" w:rsidRDefault="00164A9C" w:rsidP="00164A9C">
            <w:pPr>
              <w:rPr>
                <w:rFonts w:ascii="Calibri" w:hAnsi="Calibri" w:cs="Calibri"/>
                <w:color w:val="000000" w:themeColor="text1"/>
                <w:sz w:val="18"/>
                <w:szCs w:val="18"/>
              </w:rPr>
            </w:pPr>
            <w:r w:rsidRPr="00164A9C">
              <w:rPr>
                <w:rFonts w:ascii="Calibri" w:hAnsi="Calibri" w:cs="Calibri"/>
                <w:color w:val="000000" w:themeColor="text1"/>
                <w:sz w:val="18"/>
                <w:szCs w:val="18"/>
              </w:rPr>
              <w:t>Whether a mother is experiencing an emergency complication</w:t>
            </w:r>
            <w:r w:rsidR="00F41BE4">
              <w:rPr>
                <w:rFonts w:ascii="Calibri" w:hAnsi="Calibri" w:cs="Calibri"/>
                <w:color w:val="000000" w:themeColor="text1"/>
                <w:sz w:val="18"/>
                <w:szCs w:val="18"/>
              </w:rPr>
              <w:t xml:space="preserve"> postnatally</w:t>
            </w:r>
          </w:p>
        </w:tc>
        <w:tc>
          <w:tcPr>
            <w:tcW w:w="2126" w:type="dxa"/>
            <w:tcBorders>
              <w:top w:val="nil"/>
              <w:left w:val="nil"/>
              <w:bottom w:val="nil"/>
              <w:right w:val="nil"/>
            </w:tcBorders>
            <w:shd w:val="clear" w:color="auto" w:fill="F2F2F2" w:themeFill="background1" w:themeFillShade="F2"/>
            <w:noWrap/>
          </w:tcPr>
          <w:p w14:paraId="410230DF" w14:textId="77777777" w:rsidR="00164A9C" w:rsidRPr="004C17FA" w:rsidRDefault="00164A9C" w:rsidP="000A1504">
            <w:pPr>
              <w:rPr>
                <w:rFonts w:ascii="Calibri" w:hAnsi="Calibri" w:cs="Calibri"/>
                <w:color w:val="000000"/>
                <w:sz w:val="18"/>
                <w:szCs w:val="18"/>
              </w:rPr>
            </w:pPr>
          </w:p>
        </w:tc>
      </w:tr>
    </w:tbl>
    <w:p w14:paraId="5B4BED9C" w14:textId="452981AC" w:rsidR="001334E9" w:rsidRDefault="001334E9" w:rsidP="004D2137">
      <w:pPr>
        <w:spacing w:line="360" w:lineRule="auto"/>
        <w:rPr>
          <w:b/>
          <w:bCs/>
          <w:color w:val="767171" w:themeColor="background2" w:themeShade="80"/>
        </w:rPr>
      </w:pPr>
    </w:p>
    <w:p w14:paraId="63D80840" w14:textId="1A71B465" w:rsidR="004D2137" w:rsidRPr="004D2137" w:rsidRDefault="004D2137" w:rsidP="004D2137">
      <w:pPr>
        <w:spacing w:line="360" w:lineRule="auto"/>
        <w:rPr>
          <w:b/>
          <w:bCs/>
          <w:color w:val="767171" w:themeColor="background2" w:themeShade="80"/>
        </w:rPr>
      </w:pPr>
      <w:r w:rsidRPr="004D2137">
        <w:rPr>
          <w:b/>
          <w:bCs/>
          <w:color w:val="767171" w:themeColor="background2" w:themeShade="80"/>
        </w:rPr>
        <w:t xml:space="preserve">Table 4.  Description of </w:t>
      </w:r>
      <w:r w:rsidR="00C801A7">
        <w:rPr>
          <w:b/>
          <w:bCs/>
          <w:color w:val="767171" w:themeColor="background2" w:themeShade="80"/>
        </w:rPr>
        <w:t xml:space="preserve">natural history </w:t>
      </w:r>
      <w:r w:rsidRPr="004D2137">
        <w:rPr>
          <w:b/>
          <w:bCs/>
          <w:color w:val="767171" w:themeColor="background2" w:themeShade="80"/>
        </w:rPr>
        <w:t xml:space="preserve">parameters and proposed values.  </w:t>
      </w:r>
    </w:p>
    <w:p w14:paraId="71C15CFC" w14:textId="213C3C5F" w:rsidR="004D2137" w:rsidRDefault="004D2137" w:rsidP="00CC4D92">
      <w:pPr>
        <w:spacing w:line="360" w:lineRule="auto"/>
      </w:pPr>
      <w:r w:rsidRPr="00CC4D92">
        <w:t xml:space="preserve">Value provided in this table are not finalised and are pending a more detailed review of the relevant literature. This is a working document updated regularly.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1276"/>
        <w:gridCol w:w="3260"/>
        <w:gridCol w:w="1980"/>
      </w:tblGrid>
      <w:tr w:rsidR="00C801A7" w:rsidRPr="00F41BE4" w14:paraId="621D749A" w14:textId="77777777" w:rsidTr="00C801A7">
        <w:trPr>
          <w:trHeight w:val="330"/>
        </w:trPr>
        <w:tc>
          <w:tcPr>
            <w:tcW w:w="2840" w:type="dxa"/>
            <w:shd w:val="clear" w:color="auto" w:fill="D0CECE" w:themeFill="background2" w:themeFillShade="E6"/>
            <w:noWrap/>
          </w:tcPr>
          <w:p w14:paraId="4FCC70B9" w14:textId="77777777" w:rsidR="00C801A7" w:rsidRPr="00F41BE4" w:rsidRDefault="00C801A7" w:rsidP="00CB2C37">
            <w:pPr>
              <w:jc w:val="center"/>
              <w:rPr>
                <w:rFonts w:ascii="Calibri" w:eastAsia="Times New Roman" w:hAnsi="Calibri" w:cs="Calibri"/>
                <w:color w:val="000000"/>
                <w:lang w:eastAsia="en-GB"/>
              </w:rPr>
            </w:pPr>
            <w:r w:rsidRPr="00B93295">
              <w:rPr>
                <w:b/>
                <w:bCs/>
                <w:sz w:val="20"/>
                <w:szCs w:val="20"/>
              </w:rPr>
              <w:t>Parameter</w:t>
            </w:r>
          </w:p>
        </w:tc>
        <w:tc>
          <w:tcPr>
            <w:tcW w:w="1276" w:type="dxa"/>
            <w:shd w:val="clear" w:color="auto" w:fill="D0CECE" w:themeFill="background2" w:themeFillShade="E6"/>
            <w:noWrap/>
          </w:tcPr>
          <w:p w14:paraId="710D527B" w14:textId="77777777" w:rsidR="00C801A7" w:rsidRPr="00F41BE4" w:rsidRDefault="00C801A7" w:rsidP="00CB2C37">
            <w:pPr>
              <w:jc w:val="center"/>
              <w:rPr>
                <w:rFonts w:ascii="Calibri" w:eastAsia="Times New Roman" w:hAnsi="Calibri" w:cs="Calibri"/>
                <w:color w:val="000000"/>
                <w:lang w:eastAsia="en-GB"/>
              </w:rPr>
            </w:pPr>
            <w:r w:rsidRPr="00B93295">
              <w:rPr>
                <w:b/>
                <w:bCs/>
                <w:sz w:val="20"/>
                <w:szCs w:val="20"/>
              </w:rPr>
              <w:t>Proposed value</w:t>
            </w:r>
          </w:p>
        </w:tc>
        <w:tc>
          <w:tcPr>
            <w:tcW w:w="3260" w:type="dxa"/>
            <w:shd w:val="clear" w:color="auto" w:fill="D0CECE" w:themeFill="background2" w:themeFillShade="E6"/>
          </w:tcPr>
          <w:p w14:paraId="27221A64" w14:textId="77777777" w:rsidR="00C801A7" w:rsidRPr="00F41BE4" w:rsidRDefault="00C801A7" w:rsidP="00CB2C37">
            <w:pPr>
              <w:jc w:val="center"/>
              <w:rPr>
                <w:rFonts w:ascii="Calibri" w:eastAsia="Times New Roman" w:hAnsi="Calibri" w:cs="Calibri"/>
                <w:color w:val="000000"/>
                <w:lang w:eastAsia="en-GB"/>
              </w:rPr>
            </w:pPr>
            <w:r w:rsidRPr="00B93295">
              <w:rPr>
                <w:b/>
                <w:bCs/>
                <w:sz w:val="20"/>
                <w:szCs w:val="20"/>
              </w:rPr>
              <w:t>Description</w:t>
            </w:r>
          </w:p>
        </w:tc>
        <w:tc>
          <w:tcPr>
            <w:tcW w:w="1980" w:type="dxa"/>
            <w:shd w:val="clear" w:color="auto" w:fill="D0CECE" w:themeFill="background2" w:themeFillShade="E6"/>
          </w:tcPr>
          <w:p w14:paraId="625B42C5" w14:textId="59160453" w:rsidR="00C801A7" w:rsidRPr="00F41BE4" w:rsidRDefault="00C801A7" w:rsidP="00CB2C37">
            <w:pPr>
              <w:jc w:val="center"/>
              <w:rPr>
                <w:rFonts w:ascii="Calibri" w:eastAsia="Times New Roman" w:hAnsi="Calibri" w:cs="Calibri"/>
                <w:color w:val="000000"/>
                <w:lang w:eastAsia="en-GB"/>
              </w:rPr>
            </w:pPr>
            <w:r w:rsidRPr="00B93295">
              <w:rPr>
                <w:b/>
                <w:bCs/>
                <w:sz w:val="20"/>
                <w:szCs w:val="20"/>
              </w:rPr>
              <w:t>Reference</w:t>
            </w:r>
            <w:r w:rsidR="00AD087D">
              <w:rPr>
                <w:b/>
                <w:bCs/>
                <w:sz w:val="20"/>
                <w:szCs w:val="20"/>
              </w:rPr>
              <w:t>/</w:t>
            </w:r>
            <w:r w:rsidRPr="00B93295">
              <w:rPr>
                <w:b/>
                <w:bCs/>
                <w:sz w:val="20"/>
                <w:szCs w:val="20"/>
              </w:rPr>
              <w:t xml:space="preserve"> Notes</w:t>
            </w:r>
          </w:p>
        </w:tc>
      </w:tr>
      <w:tr w:rsidR="00C801A7" w:rsidRPr="00F41BE4" w14:paraId="72CF7B35" w14:textId="77777777" w:rsidTr="00C801A7">
        <w:trPr>
          <w:trHeight w:val="330"/>
        </w:trPr>
        <w:tc>
          <w:tcPr>
            <w:tcW w:w="2840" w:type="dxa"/>
            <w:shd w:val="clear" w:color="auto" w:fill="F2F2F2" w:themeFill="background1" w:themeFillShade="F2"/>
            <w:noWrap/>
            <w:hideMark/>
          </w:tcPr>
          <w:p w14:paraId="1F0F2D83"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prob_htn_resolves</w:t>
            </w:r>
          </w:p>
        </w:tc>
        <w:tc>
          <w:tcPr>
            <w:tcW w:w="1276" w:type="dxa"/>
            <w:noWrap/>
            <w:hideMark/>
          </w:tcPr>
          <w:p w14:paraId="2451ADD8"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0.8</w:t>
            </w:r>
          </w:p>
        </w:tc>
        <w:tc>
          <w:tcPr>
            <w:tcW w:w="3260" w:type="dxa"/>
            <w:shd w:val="clear" w:color="auto" w:fill="F2F2F2" w:themeFill="background1" w:themeFillShade="F2"/>
          </w:tcPr>
          <w:p w14:paraId="6C86F43C" w14:textId="39676F17" w:rsidR="00C801A7"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weekly probability hypertension resolves during postpartum</w:t>
            </w:r>
          </w:p>
          <w:p w14:paraId="1054878E" w14:textId="182288F6" w:rsidR="00C801A7" w:rsidRPr="001500DF" w:rsidRDefault="00C801A7" w:rsidP="00CB2C37">
            <w:pPr>
              <w:rPr>
                <w:rFonts w:ascii="Calibri" w:hAnsi="Calibri" w:cs="Calibri"/>
                <w:color w:val="000000" w:themeColor="text1"/>
                <w:sz w:val="18"/>
                <w:szCs w:val="18"/>
              </w:rPr>
            </w:pPr>
          </w:p>
        </w:tc>
        <w:tc>
          <w:tcPr>
            <w:tcW w:w="1980" w:type="dxa"/>
          </w:tcPr>
          <w:p w14:paraId="15E0F97A"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729ED8F3" w14:textId="77777777" w:rsidTr="00C801A7">
        <w:trPr>
          <w:trHeight w:val="330"/>
        </w:trPr>
        <w:tc>
          <w:tcPr>
            <w:tcW w:w="2840" w:type="dxa"/>
            <w:shd w:val="clear" w:color="auto" w:fill="F2F2F2" w:themeFill="background1" w:themeFillShade="F2"/>
            <w:noWrap/>
          </w:tcPr>
          <w:p w14:paraId="1CB6A1CF"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prob_secondary_pph</w:t>
            </w:r>
          </w:p>
        </w:tc>
        <w:tc>
          <w:tcPr>
            <w:tcW w:w="1276" w:type="dxa"/>
            <w:noWrap/>
          </w:tcPr>
          <w:p w14:paraId="256A37ED"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0.05</w:t>
            </w:r>
          </w:p>
        </w:tc>
        <w:tc>
          <w:tcPr>
            <w:tcW w:w="3260" w:type="dxa"/>
            <w:shd w:val="clear" w:color="auto" w:fill="F2F2F2" w:themeFill="background1" w:themeFillShade="F2"/>
          </w:tcPr>
          <w:p w14:paraId="76F03BA3" w14:textId="0081EE85" w:rsidR="00C801A7"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baseline probability of secondary PP</w:t>
            </w:r>
          </w:p>
          <w:p w14:paraId="792CD36C" w14:textId="31E50116" w:rsidR="00C801A7" w:rsidRPr="001500DF" w:rsidRDefault="00C801A7" w:rsidP="00CB2C37">
            <w:pPr>
              <w:rPr>
                <w:rFonts w:ascii="Calibri" w:hAnsi="Calibri" w:cs="Calibri"/>
                <w:color w:val="000000" w:themeColor="text1"/>
                <w:sz w:val="18"/>
                <w:szCs w:val="18"/>
              </w:rPr>
            </w:pPr>
          </w:p>
        </w:tc>
        <w:tc>
          <w:tcPr>
            <w:tcW w:w="1980" w:type="dxa"/>
          </w:tcPr>
          <w:p w14:paraId="47B7D623"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7B490FCA" w14:textId="77777777" w:rsidTr="00C801A7">
        <w:trPr>
          <w:trHeight w:val="330"/>
        </w:trPr>
        <w:tc>
          <w:tcPr>
            <w:tcW w:w="2840" w:type="dxa"/>
            <w:shd w:val="clear" w:color="auto" w:fill="F2F2F2" w:themeFill="background1" w:themeFillShade="F2"/>
            <w:noWrap/>
          </w:tcPr>
          <w:p w14:paraId="52F5D31E"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prob_secondary_pph_severity</w:t>
            </w:r>
          </w:p>
        </w:tc>
        <w:tc>
          <w:tcPr>
            <w:tcW w:w="1276" w:type="dxa"/>
            <w:noWrap/>
          </w:tcPr>
          <w:p w14:paraId="3BB11505"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[0.33, 0.33, 0.34]</w:t>
            </w:r>
          </w:p>
        </w:tc>
        <w:tc>
          <w:tcPr>
            <w:tcW w:w="3260" w:type="dxa"/>
            <w:shd w:val="clear" w:color="auto" w:fill="F2F2F2" w:themeFill="background1" w:themeFillShade="F2"/>
          </w:tcPr>
          <w:p w14:paraId="1380229B"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probability of mild, moderate or severe secondary PPH</w:t>
            </w:r>
          </w:p>
          <w:p w14:paraId="35BC5A38" w14:textId="77777777" w:rsidR="00C801A7" w:rsidRPr="001500DF" w:rsidRDefault="00C801A7" w:rsidP="00CB2C37">
            <w:pPr>
              <w:rPr>
                <w:rFonts w:ascii="Calibri" w:hAnsi="Calibri" w:cs="Calibri"/>
                <w:color w:val="000000" w:themeColor="text1"/>
                <w:sz w:val="18"/>
                <w:szCs w:val="18"/>
              </w:rPr>
            </w:pPr>
          </w:p>
        </w:tc>
        <w:tc>
          <w:tcPr>
            <w:tcW w:w="1980" w:type="dxa"/>
          </w:tcPr>
          <w:p w14:paraId="15DDDBE1" w14:textId="77777777" w:rsidR="00C801A7" w:rsidRPr="00F41BE4" w:rsidRDefault="00C801A7" w:rsidP="00CB2C37">
            <w:pPr>
              <w:rPr>
                <w:rFonts w:ascii="Calibri" w:eastAsia="Times New Roman" w:hAnsi="Calibri" w:cs="Calibri"/>
                <w:color w:val="000000"/>
                <w:lang w:eastAsia="en-GB"/>
              </w:rPr>
            </w:pPr>
          </w:p>
        </w:tc>
      </w:tr>
      <w:tr w:rsidR="00C801A7" w:rsidRPr="00F41BE4" w14:paraId="586D02D6" w14:textId="77777777" w:rsidTr="00C801A7">
        <w:trPr>
          <w:trHeight w:val="330"/>
        </w:trPr>
        <w:tc>
          <w:tcPr>
            <w:tcW w:w="2840" w:type="dxa"/>
            <w:shd w:val="clear" w:color="auto" w:fill="F2F2F2" w:themeFill="background1" w:themeFillShade="F2"/>
            <w:noWrap/>
          </w:tcPr>
          <w:p w14:paraId="3CEFBC68"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prob_obstetric_fistula</w:t>
            </w:r>
          </w:p>
        </w:tc>
        <w:tc>
          <w:tcPr>
            <w:tcW w:w="1276" w:type="dxa"/>
            <w:noWrap/>
          </w:tcPr>
          <w:p w14:paraId="541BBDB8"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0.1</w:t>
            </w:r>
          </w:p>
        </w:tc>
        <w:tc>
          <w:tcPr>
            <w:tcW w:w="3260" w:type="dxa"/>
            <w:shd w:val="clear" w:color="auto" w:fill="F2F2F2" w:themeFill="background1" w:themeFillShade="F2"/>
          </w:tcPr>
          <w:p w14:paraId="474A10D0"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probability of a woman developing an obstetric fistula after birth</w:t>
            </w:r>
          </w:p>
          <w:p w14:paraId="7F73D4A6" w14:textId="77777777" w:rsidR="00C801A7" w:rsidRPr="001500DF" w:rsidRDefault="00C801A7" w:rsidP="00CB2C37">
            <w:pPr>
              <w:rPr>
                <w:rFonts w:ascii="Calibri" w:hAnsi="Calibri" w:cs="Calibri"/>
                <w:color w:val="000000" w:themeColor="text1"/>
                <w:sz w:val="18"/>
                <w:szCs w:val="18"/>
              </w:rPr>
            </w:pPr>
          </w:p>
        </w:tc>
        <w:tc>
          <w:tcPr>
            <w:tcW w:w="1980" w:type="dxa"/>
          </w:tcPr>
          <w:p w14:paraId="19B1E363"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0820E83A" w14:textId="77777777" w:rsidTr="00C801A7">
        <w:trPr>
          <w:trHeight w:val="330"/>
        </w:trPr>
        <w:tc>
          <w:tcPr>
            <w:tcW w:w="2840" w:type="dxa"/>
            <w:shd w:val="clear" w:color="auto" w:fill="F2F2F2" w:themeFill="background1" w:themeFillShade="F2"/>
            <w:noWrap/>
          </w:tcPr>
          <w:p w14:paraId="6912BC95"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prevalence_type_of_fistula</w:t>
            </w:r>
          </w:p>
        </w:tc>
        <w:tc>
          <w:tcPr>
            <w:tcW w:w="1276" w:type="dxa"/>
            <w:noWrap/>
          </w:tcPr>
          <w:p w14:paraId="0ED98F1A"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[0.5, 0.5]</w:t>
            </w:r>
          </w:p>
        </w:tc>
        <w:tc>
          <w:tcPr>
            <w:tcW w:w="3260" w:type="dxa"/>
            <w:shd w:val="clear" w:color="auto" w:fill="F2F2F2" w:themeFill="background1" w:themeFillShade="F2"/>
          </w:tcPr>
          <w:p w14:paraId="4B538C4C" w14:textId="452F58CF"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Prevalence of 1.) vesicovaginal 2.)rectovaginal fistula</w:t>
            </w:r>
          </w:p>
          <w:p w14:paraId="5F3A0DC2" w14:textId="77777777" w:rsidR="00C801A7" w:rsidRPr="001500DF" w:rsidRDefault="00C801A7" w:rsidP="00CB2C37">
            <w:pPr>
              <w:rPr>
                <w:rFonts w:ascii="Calibri" w:hAnsi="Calibri" w:cs="Calibri"/>
                <w:color w:val="000000" w:themeColor="text1"/>
                <w:sz w:val="18"/>
                <w:szCs w:val="18"/>
              </w:rPr>
            </w:pPr>
          </w:p>
        </w:tc>
        <w:tc>
          <w:tcPr>
            <w:tcW w:w="1980" w:type="dxa"/>
          </w:tcPr>
          <w:p w14:paraId="512EB6A0"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47B9157D" w14:textId="77777777" w:rsidTr="00C801A7">
        <w:trPr>
          <w:trHeight w:val="330"/>
        </w:trPr>
        <w:tc>
          <w:tcPr>
            <w:tcW w:w="2840" w:type="dxa"/>
            <w:shd w:val="clear" w:color="auto" w:fill="F2F2F2" w:themeFill="background1" w:themeFillShade="F2"/>
            <w:noWrap/>
          </w:tcPr>
          <w:p w14:paraId="7179B336"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prob_iron_def_per_week_pn</w:t>
            </w:r>
          </w:p>
        </w:tc>
        <w:tc>
          <w:tcPr>
            <w:tcW w:w="1276" w:type="dxa"/>
            <w:noWrap/>
          </w:tcPr>
          <w:p w14:paraId="64DD1D05"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0.01</w:t>
            </w:r>
          </w:p>
        </w:tc>
        <w:tc>
          <w:tcPr>
            <w:tcW w:w="3260" w:type="dxa"/>
            <w:shd w:val="clear" w:color="auto" w:fill="F2F2F2" w:themeFill="background1" w:themeFillShade="F2"/>
          </w:tcPr>
          <w:p w14:paraId="11AF3325"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weekly probability of a women developing iron deficiency following pregnancy</w:t>
            </w:r>
          </w:p>
          <w:p w14:paraId="0949BC41" w14:textId="77777777" w:rsidR="00C801A7" w:rsidRPr="001500DF" w:rsidRDefault="00C801A7" w:rsidP="00CB2C37">
            <w:pPr>
              <w:rPr>
                <w:rFonts w:ascii="Calibri" w:hAnsi="Calibri" w:cs="Calibri"/>
                <w:color w:val="000000" w:themeColor="text1"/>
                <w:sz w:val="18"/>
                <w:szCs w:val="18"/>
              </w:rPr>
            </w:pPr>
          </w:p>
        </w:tc>
        <w:tc>
          <w:tcPr>
            <w:tcW w:w="1980" w:type="dxa"/>
          </w:tcPr>
          <w:p w14:paraId="6CC7CAB9"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0151B94D" w14:textId="77777777" w:rsidTr="00C801A7">
        <w:trPr>
          <w:trHeight w:val="330"/>
        </w:trPr>
        <w:tc>
          <w:tcPr>
            <w:tcW w:w="2840" w:type="dxa"/>
            <w:shd w:val="clear" w:color="auto" w:fill="F2F2F2" w:themeFill="background1" w:themeFillShade="F2"/>
            <w:noWrap/>
          </w:tcPr>
          <w:p w14:paraId="227A4709"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prob_folate_def_per_week_pn</w:t>
            </w:r>
          </w:p>
        </w:tc>
        <w:tc>
          <w:tcPr>
            <w:tcW w:w="1276" w:type="dxa"/>
            <w:noWrap/>
          </w:tcPr>
          <w:p w14:paraId="4803E9F4"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0.0025</w:t>
            </w:r>
          </w:p>
        </w:tc>
        <w:tc>
          <w:tcPr>
            <w:tcW w:w="3260" w:type="dxa"/>
            <w:shd w:val="clear" w:color="auto" w:fill="F2F2F2" w:themeFill="background1" w:themeFillShade="F2"/>
          </w:tcPr>
          <w:p w14:paraId="59330CA2"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weekly probability of a women developing folate deficiency following pregnancy</w:t>
            </w:r>
          </w:p>
          <w:p w14:paraId="16787846" w14:textId="77777777" w:rsidR="00C801A7" w:rsidRPr="001500DF" w:rsidRDefault="00C801A7" w:rsidP="00CB2C37">
            <w:pPr>
              <w:rPr>
                <w:rFonts w:ascii="Calibri" w:hAnsi="Calibri" w:cs="Calibri"/>
                <w:color w:val="000000" w:themeColor="text1"/>
                <w:sz w:val="18"/>
                <w:szCs w:val="18"/>
              </w:rPr>
            </w:pPr>
          </w:p>
        </w:tc>
        <w:tc>
          <w:tcPr>
            <w:tcW w:w="1980" w:type="dxa"/>
          </w:tcPr>
          <w:p w14:paraId="26AACB9B"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5CC280B1" w14:textId="77777777" w:rsidTr="00C801A7">
        <w:trPr>
          <w:trHeight w:val="330"/>
        </w:trPr>
        <w:tc>
          <w:tcPr>
            <w:tcW w:w="2840" w:type="dxa"/>
            <w:shd w:val="clear" w:color="auto" w:fill="F2F2F2" w:themeFill="background1" w:themeFillShade="F2"/>
            <w:noWrap/>
          </w:tcPr>
          <w:p w14:paraId="373E7718"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prob_b12_def_per_week_pn</w:t>
            </w:r>
          </w:p>
        </w:tc>
        <w:tc>
          <w:tcPr>
            <w:tcW w:w="1276" w:type="dxa"/>
            <w:noWrap/>
          </w:tcPr>
          <w:p w14:paraId="726BAF6E"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0.0025</w:t>
            </w:r>
          </w:p>
        </w:tc>
        <w:tc>
          <w:tcPr>
            <w:tcW w:w="3260" w:type="dxa"/>
            <w:shd w:val="clear" w:color="auto" w:fill="F2F2F2" w:themeFill="background1" w:themeFillShade="F2"/>
          </w:tcPr>
          <w:p w14:paraId="283600DB"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weekly probability of a women developing b12 deficiency following pregnancy</w:t>
            </w:r>
          </w:p>
          <w:p w14:paraId="3ACB88A2" w14:textId="77777777" w:rsidR="00C801A7" w:rsidRPr="001500DF" w:rsidRDefault="00C801A7" w:rsidP="00CB2C37">
            <w:pPr>
              <w:rPr>
                <w:rFonts w:ascii="Calibri" w:hAnsi="Calibri" w:cs="Calibri"/>
                <w:color w:val="000000" w:themeColor="text1"/>
                <w:sz w:val="18"/>
                <w:szCs w:val="18"/>
              </w:rPr>
            </w:pPr>
          </w:p>
        </w:tc>
        <w:tc>
          <w:tcPr>
            <w:tcW w:w="1980" w:type="dxa"/>
          </w:tcPr>
          <w:p w14:paraId="2D4575BC"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08D51D62" w14:textId="77777777" w:rsidTr="00C801A7">
        <w:trPr>
          <w:trHeight w:val="330"/>
        </w:trPr>
        <w:tc>
          <w:tcPr>
            <w:tcW w:w="2840" w:type="dxa"/>
            <w:shd w:val="clear" w:color="auto" w:fill="F2F2F2" w:themeFill="background1" w:themeFillShade="F2"/>
            <w:noWrap/>
          </w:tcPr>
          <w:p w14:paraId="2CCFE683"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baseline_prob_anaemia_per_week</w:t>
            </w:r>
          </w:p>
        </w:tc>
        <w:tc>
          <w:tcPr>
            <w:tcW w:w="1276" w:type="dxa"/>
            <w:noWrap/>
          </w:tcPr>
          <w:p w14:paraId="3ECAEBC2"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0.001</w:t>
            </w:r>
          </w:p>
        </w:tc>
        <w:tc>
          <w:tcPr>
            <w:tcW w:w="3260" w:type="dxa"/>
            <w:shd w:val="clear" w:color="auto" w:fill="F2F2F2" w:themeFill="background1" w:themeFillShade="F2"/>
          </w:tcPr>
          <w:p w14:paraId="09C345D9"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Weekly probability of anaemia in pregnancy</w:t>
            </w:r>
          </w:p>
          <w:p w14:paraId="235B5D8A" w14:textId="77777777" w:rsidR="00C801A7" w:rsidRPr="001500DF" w:rsidRDefault="00C801A7" w:rsidP="00CB2C37">
            <w:pPr>
              <w:rPr>
                <w:rFonts w:ascii="Calibri" w:hAnsi="Calibri" w:cs="Calibri"/>
                <w:color w:val="000000" w:themeColor="text1"/>
                <w:sz w:val="18"/>
                <w:szCs w:val="18"/>
              </w:rPr>
            </w:pPr>
          </w:p>
        </w:tc>
        <w:tc>
          <w:tcPr>
            <w:tcW w:w="1980" w:type="dxa"/>
          </w:tcPr>
          <w:p w14:paraId="03204A75"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05707C1B" w14:textId="77777777" w:rsidTr="00C801A7">
        <w:trPr>
          <w:trHeight w:val="330"/>
        </w:trPr>
        <w:tc>
          <w:tcPr>
            <w:tcW w:w="2840" w:type="dxa"/>
            <w:shd w:val="clear" w:color="auto" w:fill="F2F2F2" w:themeFill="background1" w:themeFillShade="F2"/>
            <w:noWrap/>
          </w:tcPr>
          <w:p w14:paraId="72D4F8E4"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prob_type_of_anaemia_pn</w:t>
            </w:r>
          </w:p>
        </w:tc>
        <w:tc>
          <w:tcPr>
            <w:tcW w:w="1276" w:type="dxa"/>
            <w:noWrap/>
          </w:tcPr>
          <w:p w14:paraId="6F5D2DD0"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[0.33, 0.33, 0.34]</w:t>
            </w:r>
          </w:p>
        </w:tc>
        <w:tc>
          <w:tcPr>
            <w:tcW w:w="3260" w:type="dxa"/>
            <w:shd w:val="clear" w:color="auto" w:fill="F2F2F2" w:themeFill="background1" w:themeFillShade="F2"/>
          </w:tcPr>
          <w:p w14:paraId="64B38450"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probability of a woman with anaemia having mild, moderate or severe anaemia</w:t>
            </w:r>
          </w:p>
          <w:p w14:paraId="55E7E5BA" w14:textId="77777777" w:rsidR="00C801A7" w:rsidRPr="001500DF" w:rsidRDefault="00C801A7" w:rsidP="00CB2C37">
            <w:pPr>
              <w:rPr>
                <w:rFonts w:ascii="Calibri" w:hAnsi="Calibri" w:cs="Calibri"/>
                <w:color w:val="000000" w:themeColor="text1"/>
                <w:sz w:val="18"/>
                <w:szCs w:val="18"/>
              </w:rPr>
            </w:pPr>
          </w:p>
        </w:tc>
        <w:tc>
          <w:tcPr>
            <w:tcW w:w="1980" w:type="dxa"/>
          </w:tcPr>
          <w:p w14:paraId="3C64E34B"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1D3F8333" w14:textId="77777777" w:rsidTr="00C801A7">
        <w:trPr>
          <w:trHeight w:val="330"/>
        </w:trPr>
        <w:tc>
          <w:tcPr>
            <w:tcW w:w="2840" w:type="dxa"/>
            <w:shd w:val="clear" w:color="auto" w:fill="F2F2F2" w:themeFill="background1" w:themeFillShade="F2"/>
            <w:noWrap/>
          </w:tcPr>
          <w:p w14:paraId="4755D2B4"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rr_anaemia_if_iron_deficient_pn</w:t>
            </w:r>
          </w:p>
        </w:tc>
        <w:tc>
          <w:tcPr>
            <w:tcW w:w="1276" w:type="dxa"/>
            <w:noWrap/>
          </w:tcPr>
          <w:p w14:paraId="42811463"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1.5</w:t>
            </w:r>
          </w:p>
        </w:tc>
        <w:tc>
          <w:tcPr>
            <w:tcW w:w="3260" w:type="dxa"/>
            <w:shd w:val="clear" w:color="auto" w:fill="F2F2F2" w:themeFill="background1" w:themeFillShade="F2"/>
          </w:tcPr>
          <w:p w14:paraId="6CF8015D"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risk of developing anaemia when iron deficient</w:t>
            </w:r>
          </w:p>
          <w:p w14:paraId="0159401B" w14:textId="77777777" w:rsidR="00C801A7" w:rsidRPr="001500DF" w:rsidRDefault="00C801A7" w:rsidP="00CB2C37">
            <w:pPr>
              <w:rPr>
                <w:rFonts w:ascii="Calibri" w:hAnsi="Calibri" w:cs="Calibri"/>
                <w:color w:val="000000" w:themeColor="text1"/>
                <w:sz w:val="18"/>
                <w:szCs w:val="18"/>
              </w:rPr>
            </w:pPr>
          </w:p>
        </w:tc>
        <w:tc>
          <w:tcPr>
            <w:tcW w:w="1980" w:type="dxa"/>
          </w:tcPr>
          <w:p w14:paraId="57FCEDE6"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38E1EBEC" w14:textId="77777777" w:rsidTr="00C801A7">
        <w:trPr>
          <w:trHeight w:val="330"/>
        </w:trPr>
        <w:tc>
          <w:tcPr>
            <w:tcW w:w="2840" w:type="dxa"/>
            <w:shd w:val="clear" w:color="auto" w:fill="F2F2F2" w:themeFill="background1" w:themeFillShade="F2"/>
            <w:noWrap/>
          </w:tcPr>
          <w:p w14:paraId="2898F706"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rr_anaemia_if_folate_deficient_pn</w:t>
            </w:r>
          </w:p>
        </w:tc>
        <w:tc>
          <w:tcPr>
            <w:tcW w:w="1276" w:type="dxa"/>
            <w:noWrap/>
          </w:tcPr>
          <w:p w14:paraId="0F495D33"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1.25</w:t>
            </w:r>
          </w:p>
        </w:tc>
        <w:tc>
          <w:tcPr>
            <w:tcW w:w="3260" w:type="dxa"/>
            <w:shd w:val="clear" w:color="auto" w:fill="F2F2F2" w:themeFill="background1" w:themeFillShade="F2"/>
          </w:tcPr>
          <w:p w14:paraId="0C8933F7"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risk of developing anaemia when folate deficient</w:t>
            </w:r>
          </w:p>
          <w:p w14:paraId="069B3452" w14:textId="77777777" w:rsidR="00C801A7" w:rsidRPr="001500DF" w:rsidRDefault="00C801A7" w:rsidP="00CB2C37">
            <w:pPr>
              <w:rPr>
                <w:rFonts w:ascii="Calibri" w:hAnsi="Calibri" w:cs="Calibri"/>
                <w:color w:val="000000" w:themeColor="text1"/>
                <w:sz w:val="18"/>
                <w:szCs w:val="18"/>
              </w:rPr>
            </w:pPr>
          </w:p>
        </w:tc>
        <w:tc>
          <w:tcPr>
            <w:tcW w:w="1980" w:type="dxa"/>
          </w:tcPr>
          <w:p w14:paraId="0B32DA00"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0DB01E72" w14:textId="77777777" w:rsidTr="00C801A7">
        <w:trPr>
          <w:trHeight w:val="330"/>
        </w:trPr>
        <w:tc>
          <w:tcPr>
            <w:tcW w:w="2840" w:type="dxa"/>
            <w:shd w:val="clear" w:color="auto" w:fill="F2F2F2" w:themeFill="background1" w:themeFillShade="F2"/>
            <w:noWrap/>
          </w:tcPr>
          <w:p w14:paraId="4E247FDF"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rr_anaemia_if_b12_deficient_pn</w:t>
            </w:r>
          </w:p>
        </w:tc>
        <w:tc>
          <w:tcPr>
            <w:tcW w:w="1276" w:type="dxa"/>
            <w:noWrap/>
          </w:tcPr>
          <w:p w14:paraId="694A5E42"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1.25</w:t>
            </w:r>
          </w:p>
        </w:tc>
        <w:tc>
          <w:tcPr>
            <w:tcW w:w="3260" w:type="dxa"/>
            <w:shd w:val="clear" w:color="auto" w:fill="F2F2F2" w:themeFill="background1" w:themeFillShade="F2"/>
          </w:tcPr>
          <w:p w14:paraId="650EF86B"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risk of developing anaemia when b12 deficient</w:t>
            </w:r>
          </w:p>
          <w:p w14:paraId="0A5D1709" w14:textId="77777777" w:rsidR="00C801A7" w:rsidRPr="001500DF" w:rsidRDefault="00C801A7" w:rsidP="00CB2C37">
            <w:pPr>
              <w:rPr>
                <w:rFonts w:ascii="Calibri" w:hAnsi="Calibri" w:cs="Calibri"/>
                <w:color w:val="000000" w:themeColor="text1"/>
                <w:sz w:val="18"/>
                <w:szCs w:val="18"/>
              </w:rPr>
            </w:pPr>
          </w:p>
        </w:tc>
        <w:tc>
          <w:tcPr>
            <w:tcW w:w="1980" w:type="dxa"/>
          </w:tcPr>
          <w:p w14:paraId="304978E8"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127F5078" w14:textId="77777777" w:rsidTr="00C801A7">
        <w:trPr>
          <w:trHeight w:val="330"/>
        </w:trPr>
        <w:tc>
          <w:tcPr>
            <w:tcW w:w="2840" w:type="dxa"/>
            <w:shd w:val="clear" w:color="auto" w:fill="F2F2F2" w:themeFill="background1" w:themeFillShade="F2"/>
            <w:noWrap/>
          </w:tcPr>
          <w:p w14:paraId="388CBDCD"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prob_endometritis_pn</w:t>
            </w:r>
          </w:p>
        </w:tc>
        <w:tc>
          <w:tcPr>
            <w:tcW w:w="1276" w:type="dxa"/>
            <w:noWrap/>
          </w:tcPr>
          <w:p w14:paraId="0A5A38C5"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0.1</w:t>
            </w:r>
          </w:p>
        </w:tc>
        <w:tc>
          <w:tcPr>
            <w:tcW w:w="3260" w:type="dxa"/>
            <w:shd w:val="clear" w:color="auto" w:fill="F2F2F2" w:themeFill="background1" w:themeFillShade="F2"/>
          </w:tcPr>
          <w:p w14:paraId="42408222"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probability of endometritis in week one</w:t>
            </w:r>
          </w:p>
          <w:p w14:paraId="3FCD1E67" w14:textId="77777777" w:rsidR="00C801A7" w:rsidRPr="001500DF" w:rsidRDefault="00C801A7" w:rsidP="00CB2C37">
            <w:pPr>
              <w:rPr>
                <w:rFonts w:ascii="Calibri" w:hAnsi="Calibri" w:cs="Calibri"/>
                <w:color w:val="000000" w:themeColor="text1"/>
                <w:sz w:val="18"/>
                <w:szCs w:val="18"/>
              </w:rPr>
            </w:pPr>
          </w:p>
        </w:tc>
        <w:tc>
          <w:tcPr>
            <w:tcW w:w="1980" w:type="dxa"/>
          </w:tcPr>
          <w:p w14:paraId="3B143D45"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74A0BC70" w14:textId="77777777" w:rsidTr="00C801A7">
        <w:trPr>
          <w:trHeight w:val="330"/>
        </w:trPr>
        <w:tc>
          <w:tcPr>
            <w:tcW w:w="2840" w:type="dxa"/>
            <w:shd w:val="clear" w:color="auto" w:fill="F2F2F2" w:themeFill="background1" w:themeFillShade="F2"/>
            <w:noWrap/>
          </w:tcPr>
          <w:p w14:paraId="393EBB40"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prob_urinary_tract_inf_pn</w:t>
            </w:r>
          </w:p>
        </w:tc>
        <w:tc>
          <w:tcPr>
            <w:tcW w:w="1276" w:type="dxa"/>
            <w:noWrap/>
          </w:tcPr>
          <w:p w14:paraId="36A24DCF"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0.1</w:t>
            </w:r>
          </w:p>
        </w:tc>
        <w:tc>
          <w:tcPr>
            <w:tcW w:w="3260" w:type="dxa"/>
            <w:shd w:val="clear" w:color="auto" w:fill="F2F2F2" w:themeFill="background1" w:themeFillShade="F2"/>
          </w:tcPr>
          <w:p w14:paraId="0B8FC396"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probability of urinary tract infection in week one</w:t>
            </w:r>
          </w:p>
          <w:p w14:paraId="254F0C9D" w14:textId="77777777" w:rsidR="00C801A7" w:rsidRPr="001500DF" w:rsidRDefault="00C801A7" w:rsidP="00CB2C37">
            <w:pPr>
              <w:rPr>
                <w:rFonts w:ascii="Calibri" w:hAnsi="Calibri" w:cs="Calibri"/>
                <w:color w:val="000000" w:themeColor="text1"/>
                <w:sz w:val="18"/>
                <w:szCs w:val="18"/>
              </w:rPr>
            </w:pPr>
          </w:p>
        </w:tc>
        <w:tc>
          <w:tcPr>
            <w:tcW w:w="1980" w:type="dxa"/>
          </w:tcPr>
          <w:p w14:paraId="64A3A293"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156B6283" w14:textId="77777777" w:rsidTr="00C801A7">
        <w:trPr>
          <w:trHeight w:val="330"/>
        </w:trPr>
        <w:tc>
          <w:tcPr>
            <w:tcW w:w="2840" w:type="dxa"/>
            <w:shd w:val="clear" w:color="auto" w:fill="F2F2F2" w:themeFill="background1" w:themeFillShade="F2"/>
            <w:noWrap/>
          </w:tcPr>
          <w:p w14:paraId="556A0920"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prob_skin_soft_tissue_inf_pn</w:t>
            </w:r>
          </w:p>
        </w:tc>
        <w:tc>
          <w:tcPr>
            <w:tcW w:w="1276" w:type="dxa"/>
            <w:noWrap/>
          </w:tcPr>
          <w:p w14:paraId="5FECF4F4"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0.1</w:t>
            </w:r>
          </w:p>
        </w:tc>
        <w:tc>
          <w:tcPr>
            <w:tcW w:w="3260" w:type="dxa"/>
            <w:shd w:val="clear" w:color="auto" w:fill="F2F2F2" w:themeFill="background1" w:themeFillShade="F2"/>
          </w:tcPr>
          <w:p w14:paraId="207E16CD"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probability of skin and soft tissue infection in week one</w:t>
            </w:r>
          </w:p>
          <w:p w14:paraId="203D6801" w14:textId="77777777" w:rsidR="00C801A7" w:rsidRPr="001500DF" w:rsidRDefault="00C801A7" w:rsidP="00CB2C37">
            <w:pPr>
              <w:rPr>
                <w:rFonts w:ascii="Calibri" w:hAnsi="Calibri" w:cs="Calibri"/>
                <w:color w:val="000000" w:themeColor="text1"/>
                <w:sz w:val="18"/>
                <w:szCs w:val="18"/>
              </w:rPr>
            </w:pPr>
          </w:p>
        </w:tc>
        <w:tc>
          <w:tcPr>
            <w:tcW w:w="1980" w:type="dxa"/>
          </w:tcPr>
          <w:p w14:paraId="6ECBA44F"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05C7C44E" w14:textId="77777777" w:rsidTr="00C801A7">
        <w:trPr>
          <w:trHeight w:val="330"/>
        </w:trPr>
        <w:tc>
          <w:tcPr>
            <w:tcW w:w="2840" w:type="dxa"/>
            <w:shd w:val="clear" w:color="auto" w:fill="F2F2F2" w:themeFill="background1" w:themeFillShade="F2"/>
            <w:noWrap/>
          </w:tcPr>
          <w:p w14:paraId="53AF0026"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prob_other_inf_pn</w:t>
            </w:r>
          </w:p>
        </w:tc>
        <w:tc>
          <w:tcPr>
            <w:tcW w:w="1276" w:type="dxa"/>
            <w:noWrap/>
          </w:tcPr>
          <w:p w14:paraId="7BA5935C"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0.1</w:t>
            </w:r>
          </w:p>
        </w:tc>
        <w:tc>
          <w:tcPr>
            <w:tcW w:w="3260" w:type="dxa"/>
            <w:shd w:val="clear" w:color="auto" w:fill="F2F2F2" w:themeFill="background1" w:themeFillShade="F2"/>
          </w:tcPr>
          <w:p w14:paraId="1A131D4C"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probability of other maternal infections in week one</w:t>
            </w:r>
          </w:p>
          <w:p w14:paraId="6A579D3C" w14:textId="77777777" w:rsidR="00C801A7" w:rsidRPr="001500DF" w:rsidRDefault="00C801A7" w:rsidP="00CB2C37">
            <w:pPr>
              <w:rPr>
                <w:rFonts w:ascii="Calibri" w:hAnsi="Calibri" w:cs="Calibri"/>
                <w:color w:val="000000" w:themeColor="text1"/>
                <w:sz w:val="18"/>
                <w:szCs w:val="18"/>
              </w:rPr>
            </w:pPr>
          </w:p>
        </w:tc>
        <w:tc>
          <w:tcPr>
            <w:tcW w:w="1980" w:type="dxa"/>
          </w:tcPr>
          <w:p w14:paraId="3E380294"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7214E5F1" w14:textId="77777777" w:rsidTr="00C801A7">
        <w:trPr>
          <w:trHeight w:val="330"/>
        </w:trPr>
        <w:tc>
          <w:tcPr>
            <w:tcW w:w="2840" w:type="dxa"/>
            <w:shd w:val="clear" w:color="auto" w:fill="F2F2F2" w:themeFill="background1" w:themeFillShade="F2"/>
            <w:noWrap/>
          </w:tcPr>
          <w:p w14:paraId="5BC2A453"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prob_late_sepsis_urinary_tract_inf</w:t>
            </w:r>
          </w:p>
        </w:tc>
        <w:tc>
          <w:tcPr>
            <w:tcW w:w="1276" w:type="dxa"/>
            <w:noWrap/>
          </w:tcPr>
          <w:p w14:paraId="5526E2A3"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0.1</w:t>
            </w:r>
          </w:p>
        </w:tc>
        <w:tc>
          <w:tcPr>
            <w:tcW w:w="3260" w:type="dxa"/>
            <w:shd w:val="clear" w:color="auto" w:fill="F2F2F2" w:themeFill="background1" w:themeFillShade="F2"/>
          </w:tcPr>
          <w:p w14:paraId="4FD162ED"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probability of developing sepsis following postpartum UTI</w:t>
            </w:r>
          </w:p>
          <w:p w14:paraId="2ECD0487" w14:textId="77777777" w:rsidR="00C801A7" w:rsidRPr="001500DF" w:rsidRDefault="00C801A7" w:rsidP="00CB2C37">
            <w:pPr>
              <w:rPr>
                <w:rFonts w:ascii="Calibri" w:hAnsi="Calibri" w:cs="Calibri"/>
                <w:color w:val="000000" w:themeColor="text1"/>
                <w:sz w:val="18"/>
                <w:szCs w:val="18"/>
              </w:rPr>
            </w:pPr>
          </w:p>
        </w:tc>
        <w:tc>
          <w:tcPr>
            <w:tcW w:w="1980" w:type="dxa"/>
          </w:tcPr>
          <w:p w14:paraId="0A336E23"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0D8C0067" w14:textId="77777777" w:rsidTr="00C801A7">
        <w:trPr>
          <w:trHeight w:val="330"/>
        </w:trPr>
        <w:tc>
          <w:tcPr>
            <w:tcW w:w="2840" w:type="dxa"/>
            <w:shd w:val="clear" w:color="auto" w:fill="F2F2F2" w:themeFill="background1" w:themeFillShade="F2"/>
            <w:noWrap/>
          </w:tcPr>
          <w:p w14:paraId="26C6355B"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prob_late_sepsis_skin_soft_tissue_inf</w:t>
            </w:r>
          </w:p>
        </w:tc>
        <w:tc>
          <w:tcPr>
            <w:tcW w:w="1276" w:type="dxa"/>
            <w:noWrap/>
          </w:tcPr>
          <w:p w14:paraId="1CF99FA1"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0.1</w:t>
            </w:r>
          </w:p>
        </w:tc>
        <w:tc>
          <w:tcPr>
            <w:tcW w:w="3260" w:type="dxa"/>
            <w:shd w:val="clear" w:color="auto" w:fill="F2F2F2" w:themeFill="background1" w:themeFillShade="F2"/>
          </w:tcPr>
          <w:p w14:paraId="2F6DA67A"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probability of developing sepsis following postpartum skin/soft tissue infection</w:t>
            </w:r>
          </w:p>
          <w:p w14:paraId="1C9858A2" w14:textId="77777777" w:rsidR="00C801A7" w:rsidRPr="001500DF" w:rsidRDefault="00C801A7" w:rsidP="00CB2C37">
            <w:pPr>
              <w:rPr>
                <w:rFonts w:ascii="Calibri" w:hAnsi="Calibri" w:cs="Calibri"/>
                <w:color w:val="000000" w:themeColor="text1"/>
                <w:sz w:val="18"/>
                <w:szCs w:val="18"/>
              </w:rPr>
            </w:pPr>
          </w:p>
        </w:tc>
        <w:tc>
          <w:tcPr>
            <w:tcW w:w="1980" w:type="dxa"/>
          </w:tcPr>
          <w:p w14:paraId="1B8D0F2D"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1BDB09B2" w14:textId="77777777" w:rsidTr="00C801A7">
        <w:trPr>
          <w:trHeight w:val="330"/>
        </w:trPr>
        <w:tc>
          <w:tcPr>
            <w:tcW w:w="2840" w:type="dxa"/>
            <w:shd w:val="clear" w:color="auto" w:fill="F2F2F2" w:themeFill="background1" w:themeFillShade="F2"/>
            <w:noWrap/>
          </w:tcPr>
          <w:p w14:paraId="4EF814BB"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prob_late_sepsis_other_maternal_infection_pp</w:t>
            </w:r>
          </w:p>
        </w:tc>
        <w:tc>
          <w:tcPr>
            <w:tcW w:w="1276" w:type="dxa"/>
            <w:noWrap/>
          </w:tcPr>
          <w:p w14:paraId="1E40354F"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0.1</w:t>
            </w:r>
          </w:p>
        </w:tc>
        <w:tc>
          <w:tcPr>
            <w:tcW w:w="3260" w:type="dxa"/>
            <w:shd w:val="clear" w:color="auto" w:fill="F2F2F2" w:themeFill="background1" w:themeFillShade="F2"/>
          </w:tcPr>
          <w:p w14:paraId="2049D657"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probability of developing sepsis following postpartum other infection</w:t>
            </w:r>
          </w:p>
          <w:p w14:paraId="4BB09BC0" w14:textId="77777777" w:rsidR="00C801A7" w:rsidRPr="001500DF" w:rsidRDefault="00C801A7" w:rsidP="00CB2C37">
            <w:pPr>
              <w:rPr>
                <w:rFonts w:ascii="Calibri" w:hAnsi="Calibri" w:cs="Calibri"/>
                <w:color w:val="000000" w:themeColor="text1"/>
                <w:sz w:val="18"/>
                <w:szCs w:val="18"/>
              </w:rPr>
            </w:pPr>
          </w:p>
        </w:tc>
        <w:tc>
          <w:tcPr>
            <w:tcW w:w="1980" w:type="dxa"/>
          </w:tcPr>
          <w:p w14:paraId="5153EDEA"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4366447C" w14:textId="77777777" w:rsidTr="00C801A7">
        <w:trPr>
          <w:trHeight w:val="330"/>
        </w:trPr>
        <w:tc>
          <w:tcPr>
            <w:tcW w:w="2840" w:type="dxa"/>
            <w:shd w:val="clear" w:color="auto" w:fill="F2F2F2" w:themeFill="background1" w:themeFillShade="F2"/>
            <w:noWrap/>
          </w:tcPr>
          <w:p w14:paraId="3D0FA36B"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prob_late_onset_neonatal_sepsis</w:t>
            </w:r>
          </w:p>
        </w:tc>
        <w:tc>
          <w:tcPr>
            <w:tcW w:w="1276" w:type="dxa"/>
            <w:noWrap/>
          </w:tcPr>
          <w:p w14:paraId="1BFD0ABA"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0.1</w:t>
            </w:r>
          </w:p>
        </w:tc>
        <w:tc>
          <w:tcPr>
            <w:tcW w:w="3260" w:type="dxa"/>
            <w:shd w:val="clear" w:color="auto" w:fill="F2F2F2" w:themeFill="background1" w:themeFillShade="F2"/>
          </w:tcPr>
          <w:p w14:paraId="559146A7"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probability of late onset neonatal sepsis (all cause)</w:t>
            </w:r>
          </w:p>
          <w:p w14:paraId="415060A4" w14:textId="77777777" w:rsidR="00C801A7" w:rsidRPr="001500DF" w:rsidRDefault="00C801A7" w:rsidP="00CB2C37">
            <w:pPr>
              <w:rPr>
                <w:rFonts w:ascii="Calibri" w:hAnsi="Calibri" w:cs="Calibri"/>
                <w:color w:val="000000" w:themeColor="text1"/>
                <w:sz w:val="18"/>
                <w:szCs w:val="18"/>
              </w:rPr>
            </w:pPr>
          </w:p>
        </w:tc>
        <w:tc>
          <w:tcPr>
            <w:tcW w:w="1980" w:type="dxa"/>
          </w:tcPr>
          <w:p w14:paraId="4398439A"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54CD0F41" w14:textId="77777777" w:rsidTr="00C801A7">
        <w:trPr>
          <w:trHeight w:val="330"/>
        </w:trPr>
        <w:tc>
          <w:tcPr>
            <w:tcW w:w="2840" w:type="dxa"/>
            <w:shd w:val="clear" w:color="auto" w:fill="F2F2F2" w:themeFill="background1" w:themeFillShade="F2"/>
            <w:noWrap/>
          </w:tcPr>
          <w:p w14:paraId="455E2535"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prob_sepsis_disabilities</w:t>
            </w:r>
          </w:p>
        </w:tc>
        <w:tc>
          <w:tcPr>
            <w:tcW w:w="1276" w:type="dxa"/>
            <w:noWrap/>
          </w:tcPr>
          <w:p w14:paraId="47C64C21"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[0.4, 0.1,  0.3,  0.1, 0.1]</w:t>
            </w:r>
          </w:p>
        </w:tc>
        <w:tc>
          <w:tcPr>
            <w:tcW w:w="3260" w:type="dxa"/>
            <w:shd w:val="clear" w:color="auto" w:fill="F2F2F2" w:themeFill="background1" w:themeFillShade="F2"/>
          </w:tcPr>
          <w:p w14:paraId="1D635AB8"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Probabilities of varying disability levels after neonatal sepsis</w:t>
            </w:r>
          </w:p>
          <w:p w14:paraId="079BF853" w14:textId="77777777" w:rsidR="00C801A7" w:rsidRPr="001500DF" w:rsidRDefault="00C801A7" w:rsidP="00CB2C37">
            <w:pPr>
              <w:rPr>
                <w:rFonts w:ascii="Calibri" w:hAnsi="Calibri" w:cs="Calibri"/>
                <w:color w:val="000000" w:themeColor="text1"/>
                <w:sz w:val="18"/>
                <w:szCs w:val="18"/>
              </w:rPr>
            </w:pPr>
          </w:p>
        </w:tc>
        <w:tc>
          <w:tcPr>
            <w:tcW w:w="1980" w:type="dxa"/>
          </w:tcPr>
          <w:p w14:paraId="05923377"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6FB5F3EC" w14:textId="77777777" w:rsidTr="00C801A7">
        <w:trPr>
          <w:trHeight w:val="330"/>
        </w:trPr>
        <w:tc>
          <w:tcPr>
            <w:tcW w:w="2840" w:type="dxa"/>
            <w:shd w:val="clear" w:color="auto" w:fill="F2F2F2" w:themeFill="background1" w:themeFillShade="F2"/>
            <w:noWrap/>
          </w:tcPr>
          <w:p w14:paraId="59CF2533"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prob_htn_persists</w:t>
            </w:r>
          </w:p>
        </w:tc>
        <w:tc>
          <w:tcPr>
            <w:tcW w:w="1276" w:type="dxa"/>
            <w:noWrap/>
          </w:tcPr>
          <w:p w14:paraId="7AD307A4"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0.2</w:t>
            </w:r>
          </w:p>
        </w:tc>
        <w:tc>
          <w:tcPr>
            <w:tcW w:w="3260" w:type="dxa"/>
            <w:shd w:val="clear" w:color="auto" w:fill="F2F2F2" w:themeFill="background1" w:themeFillShade="F2"/>
          </w:tcPr>
          <w:p w14:paraId="0CD910EC" w14:textId="4E33C3AA"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Probability that women who are hypertensive during pregnancy remain hyp</w:t>
            </w:r>
            <w:r>
              <w:rPr>
                <w:rFonts w:ascii="Calibri" w:hAnsi="Calibri" w:cs="Calibri"/>
                <w:color w:val="000000" w:themeColor="text1"/>
                <w:sz w:val="18"/>
                <w:szCs w:val="18"/>
              </w:rPr>
              <w:t xml:space="preserve">ertensive in the </w:t>
            </w:r>
            <w:r w:rsidRPr="001500DF">
              <w:rPr>
                <w:rFonts w:ascii="Calibri" w:hAnsi="Calibri" w:cs="Calibri"/>
                <w:color w:val="000000" w:themeColor="text1"/>
                <w:sz w:val="18"/>
                <w:szCs w:val="18"/>
              </w:rPr>
              <w:t>postnatal period</w:t>
            </w:r>
          </w:p>
          <w:p w14:paraId="7E6AE866" w14:textId="77777777" w:rsidR="00C801A7" w:rsidRPr="001500DF" w:rsidRDefault="00C801A7" w:rsidP="00CB2C37">
            <w:pPr>
              <w:rPr>
                <w:rFonts w:ascii="Calibri" w:hAnsi="Calibri" w:cs="Calibri"/>
                <w:color w:val="000000" w:themeColor="text1"/>
                <w:sz w:val="18"/>
                <w:szCs w:val="18"/>
              </w:rPr>
            </w:pPr>
          </w:p>
        </w:tc>
        <w:tc>
          <w:tcPr>
            <w:tcW w:w="1980" w:type="dxa"/>
          </w:tcPr>
          <w:p w14:paraId="666299DF"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1B071F50" w14:textId="77777777" w:rsidTr="00C801A7">
        <w:trPr>
          <w:trHeight w:val="330"/>
        </w:trPr>
        <w:tc>
          <w:tcPr>
            <w:tcW w:w="2840" w:type="dxa"/>
            <w:shd w:val="clear" w:color="auto" w:fill="F2F2F2" w:themeFill="background1" w:themeFillShade="F2"/>
            <w:noWrap/>
          </w:tcPr>
          <w:p w14:paraId="325BA4DD"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weekly_prob_gest_htn_pn</w:t>
            </w:r>
          </w:p>
        </w:tc>
        <w:tc>
          <w:tcPr>
            <w:tcW w:w="1276" w:type="dxa"/>
            <w:noWrap/>
          </w:tcPr>
          <w:p w14:paraId="00D07D25"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0.001</w:t>
            </w:r>
          </w:p>
        </w:tc>
        <w:tc>
          <w:tcPr>
            <w:tcW w:w="3260" w:type="dxa"/>
            <w:shd w:val="clear" w:color="auto" w:fill="F2F2F2" w:themeFill="background1" w:themeFillShade="F2"/>
          </w:tcPr>
          <w:p w14:paraId="595D9329" w14:textId="3161C614"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weekly probability of a woman developing gestational hyp</w:t>
            </w:r>
            <w:r>
              <w:rPr>
                <w:rFonts w:ascii="Calibri" w:hAnsi="Calibri" w:cs="Calibri"/>
                <w:color w:val="000000" w:themeColor="text1"/>
                <w:sz w:val="18"/>
                <w:szCs w:val="18"/>
              </w:rPr>
              <w:t xml:space="preserve">ertension during the postnatal </w:t>
            </w:r>
            <w:r w:rsidRPr="001500DF">
              <w:rPr>
                <w:rFonts w:ascii="Calibri" w:hAnsi="Calibri" w:cs="Calibri"/>
                <w:color w:val="000000" w:themeColor="text1"/>
                <w:sz w:val="18"/>
                <w:szCs w:val="18"/>
              </w:rPr>
              <w:t>period</w:t>
            </w:r>
          </w:p>
          <w:p w14:paraId="75E377DD" w14:textId="77777777" w:rsidR="00C801A7" w:rsidRPr="001500DF" w:rsidRDefault="00C801A7" w:rsidP="00CB2C37">
            <w:pPr>
              <w:rPr>
                <w:rFonts w:ascii="Calibri" w:hAnsi="Calibri" w:cs="Calibri"/>
                <w:color w:val="000000" w:themeColor="text1"/>
                <w:sz w:val="18"/>
                <w:szCs w:val="18"/>
              </w:rPr>
            </w:pPr>
          </w:p>
        </w:tc>
        <w:tc>
          <w:tcPr>
            <w:tcW w:w="1980" w:type="dxa"/>
          </w:tcPr>
          <w:p w14:paraId="327A5B23"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74D10453" w14:textId="77777777" w:rsidTr="00C801A7">
        <w:trPr>
          <w:trHeight w:val="330"/>
        </w:trPr>
        <w:tc>
          <w:tcPr>
            <w:tcW w:w="2840" w:type="dxa"/>
            <w:shd w:val="clear" w:color="auto" w:fill="F2F2F2" w:themeFill="background1" w:themeFillShade="F2"/>
            <w:noWrap/>
          </w:tcPr>
          <w:p w14:paraId="7B49127B"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cfr_eclampsia_pn</w:t>
            </w:r>
          </w:p>
        </w:tc>
        <w:tc>
          <w:tcPr>
            <w:tcW w:w="1276" w:type="dxa"/>
            <w:noWrap/>
          </w:tcPr>
          <w:p w14:paraId="3D56F165"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0.0014</w:t>
            </w:r>
          </w:p>
        </w:tc>
        <w:tc>
          <w:tcPr>
            <w:tcW w:w="3260" w:type="dxa"/>
            <w:shd w:val="clear" w:color="auto" w:fill="F2F2F2" w:themeFill="background1" w:themeFillShade="F2"/>
          </w:tcPr>
          <w:p w14:paraId="4B777B25"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'case fatality rate of eclampsia in the postnatal period</w:t>
            </w:r>
          </w:p>
          <w:p w14:paraId="41BC10E9" w14:textId="77777777" w:rsidR="00C801A7" w:rsidRPr="001500DF" w:rsidRDefault="00C801A7" w:rsidP="00CB2C37">
            <w:pPr>
              <w:rPr>
                <w:rFonts w:ascii="Calibri" w:hAnsi="Calibri" w:cs="Calibri"/>
                <w:color w:val="000000" w:themeColor="text1"/>
                <w:sz w:val="18"/>
                <w:szCs w:val="18"/>
              </w:rPr>
            </w:pPr>
          </w:p>
        </w:tc>
        <w:tc>
          <w:tcPr>
            <w:tcW w:w="1980" w:type="dxa"/>
          </w:tcPr>
          <w:p w14:paraId="66E185A5"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79C4B82B" w14:textId="77777777" w:rsidTr="00C801A7">
        <w:trPr>
          <w:trHeight w:val="330"/>
        </w:trPr>
        <w:tc>
          <w:tcPr>
            <w:tcW w:w="2840" w:type="dxa"/>
            <w:shd w:val="clear" w:color="auto" w:fill="F2F2F2" w:themeFill="background1" w:themeFillShade="F2"/>
            <w:noWrap/>
          </w:tcPr>
          <w:p w14:paraId="119FC7E3"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cfr_severe_htn_pn</w:t>
            </w:r>
          </w:p>
        </w:tc>
        <w:tc>
          <w:tcPr>
            <w:tcW w:w="1276" w:type="dxa"/>
            <w:noWrap/>
          </w:tcPr>
          <w:p w14:paraId="39C3F9F3"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0.0014</w:t>
            </w:r>
          </w:p>
        </w:tc>
        <w:tc>
          <w:tcPr>
            <w:tcW w:w="3260" w:type="dxa"/>
            <w:shd w:val="clear" w:color="auto" w:fill="F2F2F2" w:themeFill="background1" w:themeFillShade="F2"/>
          </w:tcPr>
          <w:p w14:paraId="2E58B8BE"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case fatality rate of severe hypertension in the postnatal period</w:t>
            </w:r>
          </w:p>
          <w:p w14:paraId="1CB42638" w14:textId="77777777" w:rsidR="00C801A7" w:rsidRPr="001500DF" w:rsidRDefault="00C801A7" w:rsidP="00CB2C37">
            <w:pPr>
              <w:rPr>
                <w:rFonts w:ascii="Calibri" w:hAnsi="Calibri" w:cs="Calibri"/>
                <w:color w:val="000000" w:themeColor="text1"/>
                <w:sz w:val="18"/>
                <w:szCs w:val="18"/>
              </w:rPr>
            </w:pPr>
          </w:p>
        </w:tc>
        <w:tc>
          <w:tcPr>
            <w:tcW w:w="1980" w:type="dxa"/>
          </w:tcPr>
          <w:p w14:paraId="462AF9FA"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2CAAEC57" w14:textId="77777777" w:rsidTr="00C801A7">
        <w:trPr>
          <w:trHeight w:val="330"/>
        </w:trPr>
        <w:tc>
          <w:tcPr>
            <w:tcW w:w="2840" w:type="dxa"/>
            <w:shd w:val="clear" w:color="auto" w:fill="F2F2F2" w:themeFill="background1" w:themeFillShade="F2"/>
            <w:noWrap/>
          </w:tcPr>
          <w:p w14:paraId="0ADA4D59"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cfr_early_onset_neonatal_sepsis</w:t>
            </w:r>
          </w:p>
        </w:tc>
        <w:tc>
          <w:tcPr>
            <w:tcW w:w="1276" w:type="dxa"/>
            <w:noWrap/>
          </w:tcPr>
          <w:p w14:paraId="73D60F65"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0.25</w:t>
            </w:r>
          </w:p>
        </w:tc>
        <w:tc>
          <w:tcPr>
            <w:tcW w:w="3260" w:type="dxa"/>
            <w:shd w:val="clear" w:color="auto" w:fill="F2F2F2" w:themeFill="background1" w:themeFillShade="F2"/>
          </w:tcPr>
          <w:p w14:paraId="76197B24"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case fatality for early onset neonatal sepsis</w:t>
            </w:r>
          </w:p>
          <w:p w14:paraId="4A96122F" w14:textId="77777777" w:rsidR="00C801A7" w:rsidRPr="001500DF" w:rsidRDefault="00C801A7" w:rsidP="00CB2C37">
            <w:pPr>
              <w:rPr>
                <w:rFonts w:ascii="Calibri" w:hAnsi="Calibri" w:cs="Calibri"/>
                <w:color w:val="000000" w:themeColor="text1"/>
                <w:sz w:val="18"/>
                <w:szCs w:val="18"/>
              </w:rPr>
            </w:pPr>
          </w:p>
        </w:tc>
        <w:tc>
          <w:tcPr>
            <w:tcW w:w="1980" w:type="dxa"/>
          </w:tcPr>
          <w:p w14:paraId="7A446385"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6E45561A" w14:textId="77777777" w:rsidTr="00C801A7">
        <w:trPr>
          <w:trHeight w:val="330"/>
        </w:trPr>
        <w:tc>
          <w:tcPr>
            <w:tcW w:w="2840" w:type="dxa"/>
            <w:shd w:val="clear" w:color="auto" w:fill="F2F2F2" w:themeFill="background1" w:themeFillShade="F2"/>
            <w:noWrap/>
          </w:tcPr>
          <w:p w14:paraId="3439855F"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cfr_secondary_pph</w:t>
            </w:r>
          </w:p>
        </w:tc>
        <w:tc>
          <w:tcPr>
            <w:tcW w:w="1276" w:type="dxa"/>
            <w:noWrap/>
          </w:tcPr>
          <w:p w14:paraId="1DBE5718"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0.0014</w:t>
            </w:r>
          </w:p>
        </w:tc>
        <w:tc>
          <w:tcPr>
            <w:tcW w:w="3260" w:type="dxa"/>
            <w:shd w:val="clear" w:color="auto" w:fill="F2F2F2" w:themeFill="background1" w:themeFillShade="F2"/>
          </w:tcPr>
          <w:p w14:paraId="2A1FF56F"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 xml:space="preserve">case fatality rate for secondary </w:t>
            </w:r>
            <w:r>
              <w:rPr>
                <w:rFonts w:ascii="Calibri" w:hAnsi="Calibri" w:cs="Calibri"/>
                <w:color w:val="000000" w:themeColor="text1"/>
                <w:sz w:val="18"/>
                <w:szCs w:val="18"/>
              </w:rPr>
              <w:t>PPH</w:t>
            </w:r>
          </w:p>
          <w:p w14:paraId="27176244" w14:textId="77777777" w:rsidR="00C801A7" w:rsidRPr="001500DF" w:rsidRDefault="00C801A7" w:rsidP="00CB2C37">
            <w:pPr>
              <w:rPr>
                <w:rFonts w:ascii="Calibri" w:hAnsi="Calibri" w:cs="Calibri"/>
                <w:color w:val="000000" w:themeColor="text1"/>
                <w:sz w:val="18"/>
                <w:szCs w:val="18"/>
              </w:rPr>
            </w:pPr>
          </w:p>
        </w:tc>
        <w:tc>
          <w:tcPr>
            <w:tcW w:w="1980" w:type="dxa"/>
          </w:tcPr>
          <w:p w14:paraId="4721945C" w14:textId="77777777" w:rsidR="00C801A7" w:rsidRPr="00F41BE4" w:rsidRDefault="00C801A7" w:rsidP="00CB2C37">
            <w:pPr>
              <w:jc w:val="right"/>
              <w:rPr>
                <w:rFonts w:ascii="Calibri" w:eastAsia="Times New Roman" w:hAnsi="Calibri" w:cs="Calibri"/>
                <w:color w:val="000000"/>
                <w:lang w:eastAsia="en-GB"/>
              </w:rPr>
            </w:pPr>
          </w:p>
        </w:tc>
      </w:tr>
      <w:tr w:rsidR="00C801A7" w:rsidRPr="00F41BE4" w14:paraId="4EACE8FE" w14:textId="77777777" w:rsidTr="00C801A7">
        <w:trPr>
          <w:trHeight w:val="330"/>
        </w:trPr>
        <w:tc>
          <w:tcPr>
            <w:tcW w:w="2840" w:type="dxa"/>
            <w:shd w:val="clear" w:color="auto" w:fill="F2F2F2" w:themeFill="background1" w:themeFillShade="F2"/>
            <w:noWrap/>
          </w:tcPr>
          <w:p w14:paraId="750504A0"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cfr_postnatal_sepsis</w:t>
            </w:r>
          </w:p>
        </w:tc>
        <w:tc>
          <w:tcPr>
            <w:tcW w:w="1276" w:type="dxa"/>
            <w:noWrap/>
          </w:tcPr>
          <w:p w14:paraId="5C8F5E97"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0.0014</w:t>
            </w:r>
          </w:p>
        </w:tc>
        <w:tc>
          <w:tcPr>
            <w:tcW w:w="3260" w:type="dxa"/>
            <w:shd w:val="clear" w:color="auto" w:fill="F2F2F2" w:themeFill="background1" w:themeFillShade="F2"/>
          </w:tcPr>
          <w:p w14:paraId="032CB96D"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case fatality rate for postnatal sepsis</w:t>
            </w:r>
          </w:p>
          <w:p w14:paraId="65D233A8" w14:textId="77777777" w:rsidR="00C801A7" w:rsidRPr="001500DF" w:rsidRDefault="00C801A7" w:rsidP="00CB2C37">
            <w:pPr>
              <w:rPr>
                <w:rFonts w:ascii="Calibri" w:hAnsi="Calibri" w:cs="Calibri"/>
                <w:color w:val="000000" w:themeColor="text1"/>
                <w:sz w:val="18"/>
                <w:szCs w:val="18"/>
              </w:rPr>
            </w:pPr>
          </w:p>
        </w:tc>
        <w:tc>
          <w:tcPr>
            <w:tcW w:w="1980" w:type="dxa"/>
          </w:tcPr>
          <w:p w14:paraId="4C14A28D" w14:textId="77777777" w:rsidR="00C801A7" w:rsidRPr="00F41BE4" w:rsidRDefault="00C801A7" w:rsidP="00CB2C37">
            <w:pPr>
              <w:jc w:val="right"/>
              <w:rPr>
                <w:rFonts w:ascii="Calibri" w:eastAsia="Times New Roman" w:hAnsi="Calibri" w:cs="Calibri"/>
                <w:color w:val="000000"/>
                <w:lang w:eastAsia="en-GB"/>
              </w:rPr>
            </w:pPr>
          </w:p>
        </w:tc>
      </w:tr>
    </w:tbl>
    <w:p w14:paraId="7516DE2F" w14:textId="7318B0B3" w:rsidR="009B2AC4" w:rsidRDefault="009B2AC4" w:rsidP="00533846">
      <w:pPr>
        <w:spacing w:line="360" w:lineRule="auto"/>
        <w:rPr>
          <w:b/>
          <w:bCs/>
          <w:color w:val="A8D08D" w:themeColor="accent6" w:themeTint="99"/>
        </w:rPr>
      </w:pPr>
    </w:p>
    <w:p w14:paraId="18AED6BD" w14:textId="6B09E158" w:rsidR="00533846" w:rsidRPr="00533846" w:rsidRDefault="00533846" w:rsidP="00533846">
      <w:pPr>
        <w:spacing w:line="360" w:lineRule="auto"/>
        <w:rPr>
          <w:b/>
          <w:bCs/>
          <w:color w:val="A8D08D" w:themeColor="accent6" w:themeTint="99"/>
        </w:rPr>
      </w:pPr>
      <w:r w:rsidRPr="00533846">
        <w:rPr>
          <w:b/>
          <w:bCs/>
          <w:color w:val="A8D08D" w:themeColor="accent6" w:themeTint="99"/>
        </w:rPr>
        <w:t>Approach to modelling interventions related to Postnatal Care: rationale for model structure and choice of parameter values</w:t>
      </w:r>
    </w:p>
    <w:p w14:paraId="3E68CA48" w14:textId="43A1B5D0" w:rsidR="00223B76" w:rsidRPr="00CC4D92" w:rsidRDefault="00223B76" w:rsidP="00223B76">
      <w:pPr>
        <w:spacing w:line="360" w:lineRule="auto"/>
        <w:rPr>
          <w:b/>
          <w:bCs/>
          <w:color w:val="A8D08D" w:themeColor="accent6" w:themeTint="99"/>
        </w:rPr>
      </w:pPr>
      <w:r w:rsidRPr="00CC4D92">
        <w:rPr>
          <w:b/>
          <w:bCs/>
          <w:color w:val="A8D08D" w:themeColor="accent6" w:themeTint="99"/>
        </w:rPr>
        <w:t>Postnatal care in Malawi</w:t>
      </w:r>
    </w:p>
    <w:p w14:paraId="4DA324EA" w14:textId="6786E753" w:rsidR="00223B76" w:rsidRDefault="00CC4D92" w:rsidP="00CC4D92">
      <w:pPr>
        <w:spacing w:line="360" w:lineRule="auto"/>
      </w:pPr>
      <w:r w:rsidRPr="00CC4D92">
        <w:t xml:space="preserve">The Malawi Essential Health Package (EHP) separates reproductive, maternal and neonatal health interventions into three broad packages; antenatal care, modern family planning and delivery </w:t>
      </w:r>
      <w:r>
        <w:t>care</w:t>
      </w:r>
      <w:r w:rsidRPr="00CC4D92">
        <w:t xml:space="preserve"> </w:t>
      </w:r>
      <w:r w:rsidRPr="00CC4D92">
        <w:fldChar w:fldCharType="begin" w:fldLock="1"/>
      </w:r>
      <w:r w:rsidR="00284995">
        <w:instrText>ADDIN CSL_CITATION {"citationItems":[{"id":"ITEM-1","itemData":{"author":[{"dropping-particle":"","family":"Government of the Republic of Malawi","given":"","non-dropping-particle":"","parse-names":false,"suffix":""}],"id":"ITEM-1","issued":{"date-parts":[["2017"]]},"title":"Health Sector Strategic Plan II (2017-2022)","type":"report"},"uris":["http://www.mendeley.com/documents/?uuid=b3bee8e0-e63e-33cf-a8ba-946a57a5d8ed"]}],"mendeley":{"formattedCitation":"(Government of the Republic of Malawi, 2017)","plainTextFormattedCitation":"(Government of the Republic of Malawi, 2017)","previouslyFormattedCitation":"(Government of the Republic of Malawi, 2017)"},"properties":{"noteIndex":0},"schema":"https://github.com/citation-style-language/schema/raw/master/csl-citation.json"}</w:instrText>
      </w:r>
      <w:r w:rsidRPr="00CC4D92">
        <w:fldChar w:fldCharType="separate"/>
      </w:r>
      <w:r w:rsidRPr="00CC4D92">
        <w:rPr>
          <w:noProof/>
        </w:rPr>
        <w:t>(Government of the Republic of Malawi, 2017)</w:t>
      </w:r>
      <w:r w:rsidRPr="00CC4D92">
        <w:fldChar w:fldCharType="end"/>
      </w:r>
      <w:r w:rsidRPr="00CC4D92">
        <w:t>.</w:t>
      </w:r>
      <w:r>
        <w:t xml:space="preserve"> Whilst postnatal care (PNC)</w:t>
      </w:r>
      <w:r w:rsidR="00284995">
        <w:t xml:space="preserve"> does not fall within any of these packages, and is not explicitly listed within the EHP as a service delivered via the public sector, it does feature prominently within the </w:t>
      </w:r>
      <w:r w:rsidR="00284995" w:rsidRPr="00284995">
        <w:t>National Reproductive Health Service Delivery Guidelines</w:t>
      </w:r>
      <w:r w:rsidR="00284995">
        <w:t xml:space="preserve"> </w:t>
      </w:r>
      <w:r w:rsidR="00620F2D">
        <w:t xml:space="preserve"> (NRHSDG) </w:t>
      </w:r>
      <w:r w:rsidR="00284995">
        <w:fldChar w:fldCharType="begin" w:fldLock="1"/>
      </w:r>
      <w:r w:rsidR="00C20412">
        <w:instrText>ADDIN CSL_CITATION {"citationItems":[{"id":"ITEM-1","itemData":{"author":[{"dropping-particle":"","family":"The Government of the Republic of Malawi","given":"","non-dropping-particle":"","parse-names":false,"suffix":""}],"id":"ITEM-1","issued":{"date-parts":[["2014"]]},"title":"Malawi National Reproductive Health Service Delivery Guidelines","type":"article"},"uris":["http://www.mendeley.com/documents/?uuid=eb9f09b3-b793-4dd1-9722-c2b074f6e2b3"]}],"mendeley":{"formattedCitation":"(The Government of the Republic of Malawi, 2014)","manualFormatting":"(Government of the Republic of Malawi, 2014)","plainTextFormattedCitation":"(The Government of the Republic of Malawi, 2014)","previouslyFormattedCitation":"(The Government of the Republic of Malawi, 2014)"},"properties":{"noteIndex":0},"schema":"https://github.com/citation-style-language/schema/raw/master/csl-citation.json"}</w:instrText>
      </w:r>
      <w:r w:rsidR="00284995">
        <w:fldChar w:fldCharType="separate"/>
      </w:r>
      <w:r w:rsidR="00284995">
        <w:rPr>
          <w:noProof/>
        </w:rPr>
        <w:t>(</w:t>
      </w:r>
      <w:r w:rsidR="00284995" w:rsidRPr="00284995">
        <w:rPr>
          <w:noProof/>
        </w:rPr>
        <w:t>Government of the Republic of Malawi, 2014)</w:t>
      </w:r>
      <w:r w:rsidR="00284995">
        <w:fldChar w:fldCharType="end"/>
      </w:r>
      <w:r w:rsidR="00284995">
        <w:t xml:space="preserve"> as part of essential care for mothers and newborns</w:t>
      </w:r>
      <w:r w:rsidR="008509ED">
        <w:t xml:space="preserve"> </w:t>
      </w:r>
      <w:r w:rsidR="00284995">
        <w:t>.</w:t>
      </w:r>
      <w:r w:rsidR="00C20412">
        <w:t xml:space="preserve"> Additionally postnatal care and essential newborn care form part of the </w:t>
      </w:r>
      <w:r w:rsidR="00C20412">
        <w:lastRenderedPageBreak/>
        <w:t xml:space="preserve">minimum package of high impact Interventions which target maternal and neonatal mortality reduction in the Ministry of Health’s ‘Road Map for Accelerating the reduction of Maternal and Neonatal Morbidity and Mortality’  </w:t>
      </w:r>
      <w:r w:rsidR="00C20412">
        <w:fldChar w:fldCharType="begin" w:fldLock="1"/>
      </w:r>
      <w:r w:rsidR="00C63ADA">
        <w:instrText>ADDIN CSL_CITATION {"citationItems":[{"id":"ITEM-1","itemData":{"author":[{"dropping-particle":"","family":"Malawi Ministry of Health","given":"","non-dropping-particle":"","parse-names":false,"suffix":""}],"id":"ITEM-1","issued":{"date-parts":[["2012"]]},"title":"Road Map for Accelerating the reduction of Maternal and Neonatal Morbidity and Mortality in Malawi","type":"report"},"uris":["http://www.mendeley.com/documents/?uuid=5da6f49f-cddf-3d85-b456-0d3ec8818e04"]}],"mendeley":{"formattedCitation":"(Malawi Ministry of Health, 2012)","plainTextFormattedCitation":"(Malawi Ministry of Health, 2012)","previouslyFormattedCitation":"(Malawi Ministry of Health, 2012)"},"properties":{"noteIndex":0},"schema":"https://github.com/citation-style-language/schema/raw/master/csl-citation.json"}</w:instrText>
      </w:r>
      <w:r w:rsidR="00C20412">
        <w:fldChar w:fldCharType="separate"/>
      </w:r>
      <w:r w:rsidR="00C20412" w:rsidRPr="00C20412">
        <w:rPr>
          <w:noProof/>
        </w:rPr>
        <w:t>(Malawi Ministry of Health, 2012)</w:t>
      </w:r>
      <w:r w:rsidR="00C20412">
        <w:fldChar w:fldCharType="end"/>
      </w:r>
      <w:r w:rsidR="008411A2">
        <w:t xml:space="preserve">. </w:t>
      </w:r>
      <w:r w:rsidR="00620F2D">
        <w:t xml:space="preserve">We have used the NRHSDG to structure the health system interactions within this model after confirmation with ministry officials that this is the most relevant national policy in regards to PNC. </w:t>
      </w:r>
    </w:p>
    <w:p w14:paraId="7BE70EC0" w14:textId="01A7A36A" w:rsidR="00620F2D" w:rsidRPr="00620F2D" w:rsidRDefault="00620F2D" w:rsidP="00960E85">
      <w:pPr>
        <w:spacing w:line="360" w:lineRule="auto"/>
      </w:pPr>
      <w:r>
        <w:t>The NRHSDG</w:t>
      </w:r>
      <w:r w:rsidR="00484106">
        <w:t xml:space="preserve"> does not have an explicit PNC schedule or intervention matrix </w:t>
      </w:r>
      <w:r>
        <w:t xml:space="preserve">(as it does with ANC) </w:t>
      </w:r>
      <w:r w:rsidR="00484106">
        <w:t xml:space="preserve">but does provide suggested visit times for women depending on place of delivery (facility vs home).  Women, and their newborns, who delivered at home should receive a first PNC visit within three days of birth whilst those women who have delivered </w:t>
      </w:r>
      <w:r w:rsidR="00FF00AA">
        <w:t xml:space="preserve">in a facility should receive initial postnatal management and care prior to discharge. </w:t>
      </w:r>
      <w:r>
        <w:t xml:space="preserve">Following this women should </w:t>
      </w:r>
      <w:r w:rsidR="00484106">
        <w:t>then be encouraged to return at 7 and 42 days postnatal</w:t>
      </w:r>
      <w:r>
        <w:t xml:space="preserve"> for additional assessment</w:t>
      </w:r>
      <w:r w:rsidR="00484106">
        <w:t xml:space="preserve">. </w:t>
      </w:r>
      <w:r>
        <w:t>This schedule is mimicked within our model as discussed in the following section.</w:t>
      </w:r>
    </w:p>
    <w:p w14:paraId="2E5803AF" w14:textId="789DCD15" w:rsidR="00960E85" w:rsidRPr="00DC58BA" w:rsidRDefault="00960E85" w:rsidP="00960E85">
      <w:pPr>
        <w:spacing w:line="360" w:lineRule="auto"/>
        <w:rPr>
          <w:b/>
          <w:bCs/>
          <w:color w:val="A8D08D" w:themeColor="accent6" w:themeTint="99"/>
        </w:rPr>
      </w:pPr>
      <w:r w:rsidRPr="00DC58BA">
        <w:rPr>
          <w:b/>
          <w:bCs/>
          <w:color w:val="A8D08D" w:themeColor="accent6" w:themeTint="99"/>
        </w:rPr>
        <w:t xml:space="preserve">Care seeking </w:t>
      </w:r>
    </w:p>
    <w:p w14:paraId="34B8A225" w14:textId="47B91198" w:rsidR="00DD39DC" w:rsidRPr="00AB4714" w:rsidRDefault="00DD39DC" w:rsidP="00DD39DC">
      <w:pPr>
        <w:spacing w:line="360" w:lineRule="auto"/>
      </w:pPr>
      <w:r w:rsidRPr="00AB4714">
        <w:t xml:space="preserve">Within the model we assume, as discussed above, that immediate postnatal care for the mother and the newborn is delivered to any individuals who deliver/have been delivered in a facility. The details of these interventions are covered in the next section. </w:t>
      </w:r>
      <w:r>
        <w:t xml:space="preserve">For all women and/or newborns who have survived until the first week postnatal, </w:t>
      </w:r>
      <w:r w:rsidRPr="00AB4714">
        <w:t>we apply a probability that mother and baby will seek routine postnatal care around day 7</w:t>
      </w:r>
      <w:r>
        <w:t xml:space="preserve"> after we have applied risk of complications in that week</w:t>
      </w:r>
      <w:r w:rsidRPr="00AB4714">
        <w:t xml:space="preserve">. </w:t>
      </w:r>
    </w:p>
    <w:p w14:paraId="7E380643" w14:textId="31BD52E2" w:rsidR="008411A2" w:rsidRDefault="008411A2" w:rsidP="00CC4D92">
      <w:pPr>
        <w:spacing w:line="360" w:lineRule="auto"/>
      </w:pPr>
      <w:r>
        <w:t xml:space="preserve">Historically, and according to recent estimates, uptake of routine postnatal care for both mothers and neonates is poor </w:t>
      </w:r>
      <w:r w:rsidR="00C63ADA">
        <w:t xml:space="preserve">within Malawi </w:t>
      </w:r>
      <w:r w:rsidR="00C63ADA">
        <w:fldChar w:fldCharType="begin" w:fldLock="1"/>
      </w:r>
      <w:r w:rsidR="00A34653">
        <w:instrText>ADDIN CSL_CITATION {"citationItems":[{"id":"ITEM-1","itemData":{"DOI":"10.21608/epx.2017.7003","ISSN":"2090-262X","PMID":"29924922","abstract":"BACKGROUND In Malawi, women's postpartum care services often remain underutilized despite the efforts of the government to promote the use of maternal healthcare. Consequently, maternal mortality and morbidity are persistently high. AIM The aim of the study is to examine the factors associated with women's use of postpartum care services in urban areas as compared with the rural areas in Malawi. MATERIALS AND METHODS The study used data from the 2010 Malawi Demographic and Health Survey. A two-staged approach was used in data analysis where the logistic regression and multinomial regression methods were used first to identify the determinants of use and second to classify the determinants associated with timing of women's use of postpartum care service in the country. RESULTS Of the 13776 women that constituted the sample, 7018 (50.9%) reported to use postpartum care services. Caesarean delivery in both urban [odds ratio (OR)=3.98; 95% confidence interval (CI): 2.27- 6.98] and rural settings (OR=3.56; 95% CI: 2.91-4.36) greatly increased women's likelihood of using postpartum care. On the contrary, problems of availability of health services decreased women's likelihood of using postpartum care services in both urban (OR=0.75; 95% CI: 0.57-0.97) and rural settings (OR=0.87; 95% CI: 0.80-0.93). Furthermore, pregnancy complications, lower levels of women's education, difficulties in accessing available healthcare facilities and low media exposure were significantly associated with women's delay in using postpartum care services in rural Malawi compared with their counterparts who used the services within 24 h after childbirth. CONCLUSION In both urban and rural settings, women's use of postnatal care services remains low. The influence of low socioeconomic and service quality factors was prominent in rural areas more than in urban areas. This information is significant for health policy stakeholders to understand ways which can be adopted in order to enhance the quality and the use of postnatal care services. Therefore, there is a need to promote women-centred and community-based awareness in order to enhance the use of postnatal care in urban and rural areas, if maternal health outcomes are to improve in Malawi.","author":[{"dropping-particle":"","family":"Machira","given":"Kennedy","non-dropping-particle":"","parse-names":false,"suffix":""},{"dropping-particle":"","family":"Palamulen","given":"Martin","non-dropping-particle":"","parse-names":false,"suffix":""}],"container-title":"Journal of Egyptian Public Health Association","id":"ITEM-1","issue":"1","issued":{"date-parts":[["2017","3","1"]]},"page":"1-10","publisher":"Egypts Presidential Specialized Council for Education and Scientific Research","title":"Rural–urban differences in the use of postnatal care services in Malawi","type":"article-journal","volume":"92"},"uris":["http://www.mendeley.com/documents/?uuid=68e7e8cd-e388-3e97-a1ce-bfcf170d759e"]},{"id":"ITEM-2","itemData":{"DOI":"10.4314/mmj.v31i1.2","ISSN":"19957270","PMID":"31143390","abstract":"Introduction The World Health Organization (WHO) recommends that every woman be checked after the delivery of a child. However, only 42% of Malawian women are checked by a skilled health worker within 48 hours after delivery. This study aimed at identifying factors associated with postnatal care (PNC) utilization among Malawian women by using nationally representative data. Methods Secondary data from the 2015-2016 Malawi Demographic and Health Survey (MDHS) was used for the study. A logistic regression model was used to find the adjusted odds of utilizing PNC services among the women. All the analyses controlled for the survey clusters and weighting. All the analyses were conducted in STATA version 14 at a significance level of 5%. Results Out of the 6,693 women who had a live birth 24 months prior to the 2015-2016 MDHS, only 48.4% were checked by a skilled health worker within 42 days after delivery. Uptake of PNC was significantly associated with older age, being employed, living in an urban area, delivery through caesarean section, a timely first antenatal care (ANC) visit, uptake of recommended number of ANC visits, and receiving the adequate number of tetanus injections. Conclusion Interventions to increase utilization of PNC services should be tailored to appropriate populations. Particularly, special focus has to be made towards younger women, the women who reside in the rural areas, who are not employed, and who are generally not well to do. Behavioural change interventions must also target women with low perceived risk after delivery. Information should also be consistently provided by health workers in communities and health facilities to women on perinatal care in order to change the women’s risk perception on all levels of pregnancy care and to encourage utilization of relevant health services.","author":[{"dropping-particle":"","family":"Khaki","given":"Jessie Jane","non-dropping-particle":"","parse-names":false,"suffix":""},{"dropping-particle":"","family":"Sithole","given":"Lonjezo","non-dropping-particle":"","parse-names":false,"suffix":""}],"container-title":"Malawi Medical Journal","id":"ITEM-2","issue":"1","issued":{"date-parts":[["2019"]]},"page":"2-11","publisher":"Malawi Medical Journal","title":"Factors associated with the utilization of postnatal care services among malawian women","type":"article-journal","volume":"31"},"uris":["http://www.mendeley.com/documents/?uuid=e4a1d0af-5d26-3f38-9cdb-54b7a33bb3d6"]},{"id":"ITEM-3","itemData":{"DOI":"10.1186/s12884-019-2534-x","ISSN":"1471-2393","abstract":"Background: This study explored the role of health facility availability as it relates to maternal and newborn PNC use in rural Malawi. Methods: Malawi Demographic and Health Survey (MDHS) 2015-16 data, MDHS 2015-16 household cluster GPS data, Malawi Service Provision Assessment (MSPA) 2013-14 data and MSPA 2013-14 facility GPS data were used. Household clusters were spatially linked with facilities using buffers. Descriptive analyses were performed and generalized estimating equations (GEE) were used to determine the effects of having different types of facilities at varying distances from household clusters on receipt of maternal and newborn PNC in rural Malawi.","author":[{"dropping-particle":"","family":"Kim","given":"Eunsoo Timothy","non-dropping-particle":"","parse-names":false,"suffix":""},{"dropping-particle":"","family":"Singh","given":"Kavita","non-dropping-particle":"","parse-names":false,"suffix":""},{"dropping-particle":"","family":"Speizer","given":"Ilene S","non-dropping-particle":"","parse-names":false,"suffix":""},{"dropping-particle":"","family":"Angeles","given":"Gustavo","non-dropping-particle":"","parse-names":false,"suffix":""},{"dropping-particle":"","family":"Weiss","given":"William","non-dropping-particle":"","parse-names":false,"suffix":""}],"container-title":"BMC Pregnancy and Childbirth","id":"ITEM-3","issue":"1","issued":{"date-parts":[["2019","12","17"]]},"page":"503","title":"Availability of health facilities and utilization of maternal and newborn postnatal care in rural Malawi","type":"article-journal","volume":"19"},"uris":["http://www.mendeley.com/documents/?uuid=1ec518d7-8bf9-3966-bc8d-d12a921572d0"]}],"mendeley":{"formattedCitation":"(Machira and Palamulen, 2017; Khaki and Sithole, 2019; Kim &lt;i&gt;et al.&lt;/i&gt;, 2019)","plainTextFormattedCitation":"(Machira and Palamulen, 2017; Khaki and Sithole, 2019; Kim et al., 2019)","previouslyFormattedCitation":"(Machira and Palamulen, 2017; Khaki and Sithole, 2019; Kim &lt;i&gt;et al.&lt;/i&gt;, 2019)"},"properties":{"noteIndex":0},"schema":"https://github.com/citation-style-language/schema/raw/master/csl-citation.json"}</w:instrText>
      </w:r>
      <w:r w:rsidR="00C63ADA">
        <w:fldChar w:fldCharType="separate"/>
      </w:r>
      <w:r w:rsidR="00C63ADA" w:rsidRPr="00C63ADA">
        <w:rPr>
          <w:noProof/>
        </w:rPr>
        <w:t xml:space="preserve">(Machira and Palamulen, 2017; Khaki and Sithole, 2019; Kim </w:t>
      </w:r>
      <w:r w:rsidR="00C63ADA" w:rsidRPr="00C63ADA">
        <w:rPr>
          <w:i/>
          <w:noProof/>
        </w:rPr>
        <w:t>et al.</w:t>
      </w:r>
      <w:r w:rsidR="00C63ADA" w:rsidRPr="00C63ADA">
        <w:rPr>
          <w:noProof/>
        </w:rPr>
        <w:t>, 2019)</w:t>
      </w:r>
      <w:r w:rsidR="00C63ADA">
        <w:fldChar w:fldCharType="end"/>
      </w:r>
      <w:r w:rsidR="00A34653">
        <w:t xml:space="preserve">. Analysis from the 2015-2016 DHS in Malawi found that only 48.4% of women in the sample received routine postnatal care within 42 days of birth </w:t>
      </w:r>
      <w:r w:rsidR="00A34653">
        <w:fldChar w:fldCharType="begin" w:fldLock="1"/>
      </w:r>
      <w:r w:rsidR="00E5097C">
        <w:instrText>ADDIN CSL_CITATION {"citationItems":[{"id":"ITEM-1","itemData":{"DOI":"10.4314/mmj.v31i1.2","ISSN":"19957270","PMID":"31143390","abstract":"Introduction The World Health Organization (WHO) recommends that every woman be checked after the delivery of a child. However, only 42% of Malawian women are checked by a skilled health worker within 48 hours after delivery. This study aimed at identifying factors associated with postnatal care (PNC) utilization among Malawian women by using nationally representative data. Methods Secondary data from the 2015-2016 Malawi Demographic and Health Survey (MDHS) was used for the study. A logistic regression model was used to find the adjusted odds of utilizing PNC services among the women. All the analyses controlled for the survey clusters and weighting. All the analyses were conducted in STATA version 14 at a significance level of 5%. Results Out of the 6,693 women who had a live birth 24 months prior to the 2015-2016 MDHS, only 48.4% were checked by a skilled health worker within 42 days after delivery. Uptake of PNC was significantly associated with older age, being employed, living in an urban area, delivery through caesarean section, a timely first antenatal care (ANC) visit, uptake of recommended number of ANC visits, and receiving the adequate number of tetanus injections. Conclusion Interventions to increase utilization of PNC services should be tailored to appropriate populations. Particularly, special focus has to be made towards younger women, the women who reside in the rural areas, who are not employed, and who are generally not well to do. Behavioural change interventions must also target women with low perceived risk after delivery. Information should also be consistently provided by health workers in communities and health facilities to women on perinatal care in order to change the women’s risk perception on all levels of pregnancy care and to encourage utilization of relevant health services.","author":[{"dropping-particle":"","family":"Khaki","given":"Jessie Jane","non-dropping-particle":"","parse-names":false,"suffix":""},{"dropping-particle":"","family":"Sithole","given":"Lonjezo","non-dropping-particle":"","parse-names":false,"suffix":""}],"container-title":"Malawi Medical Journal","id":"ITEM-1","issue":"1","issued":{"date-parts":[["2019"]]},"page":"2-11","publisher":"Malawi Medical Journal","title":"Factors associated with the utilization of postnatal care services among malawian women","type":"article-journal","volume":"31"},"uris":["http://www.mendeley.com/documents/?uuid=e4a1d0af-5d26-3f38-9cdb-54b7a33bb3d6"]}],"mendeley":{"formattedCitation":"(Khaki and Sithole, 2019)","plainTextFormattedCitation":"(Khaki and Sithole, 2019)","previouslyFormattedCitation":"(Khaki and Sithole, 2019)"},"properties":{"noteIndex":0},"schema":"https://github.com/citation-style-language/schema/raw/master/csl-citation.json"}</w:instrText>
      </w:r>
      <w:r w:rsidR="00A34653">
        <w:fldChar w:fldCharType="separate"/>
      </w:r>
      <w:r w:rsidR="00A34653" w:rsidRPr="00A34653">
        <w:rPr>
          <w:noProof/>
        </w:rPr>
        <w:t>(Khaki and Sithole, 2019)</w:t>
      </w:r>
      <w:r w:rsidR="00A34653">
        <w:fldChar w:fldCharType="end"/>
      </w:r>
      <w:r w:rsidR="00A34653">
        <w:t>. Factors associated with maternal PNC attendance</w:t>
      </w:r>
      <w:r w:rsidR="00163A0F">
        <w:t xml:space="preserve"> reported in Khaki and Sithole’s study (2019)</w:t>
      </w:r>
      <w:r w:rsidR="00A34653">
        <w:t xml:space="preserve"> included:</w:t>
      </w:r>
    </w:p>
    <w:p w14:paraId="4E9CE0B3" w14:textId="56C9F955" w:rsidR="00A34653" w:rsidRDefault="00A34653" w:rsidP="00A34653">
      <w:pPr>
        <w:pStyle w:val="ListParagraph"/>
        <w:numPr>
          <w:ilvl w:val="0"/>
          <w:numId w:val="21"/>
        </w:numPr>
        <w:spacing w:line="360" w:lineRule="auto"/>
      </w:pPr>
      <w:r>
        <w:t>Being aged 30-35 - aOR 1.75 (95% CI 1.22 - 2.51)</w:t>
      </w:r>
    </w:p>
    <w:p w14:paraId="093ACCA4" w14:textId="646FCB4D" w:rsidR="00A34653" w:rsidRDefault="00A34653" w:rsidP="00A34653">
      <w:pPr>
        <w:pStyle w:val="ListParagraph"/>
        <w:numPr>
          <w:ilvl w:val="0"/>
          <w:numId w:val="21"/>
        </w:numPr>
        <w:spacing w:line="360" w:lineRule="auto"/>
      </w:pPr>
      <w:r>
        <w:t>Being aged 36 and older - aOR 1.86 (95% CI</w:t>
      </w:r>
      <w:r w:rsidRPr="00A34653">
        <w:t xml:space="preserve"> </w:t>
      </w:r>
      <w:r>
        <w:t>1.19-</w:t>
      </w:r>
      <w:r w:rsidR="00163A0F">
        <w:t>2.92</w:t>
      </w:r>
      <w:r>
        <w:t>)</w:t>
      </w:r>
    </w:p>
    <w:p w14:paraId="6A17A5F6" w14:textId="6C5C2AD4" w:rsidR="00A34653" w:rsidRDefault="00A34653" w:rsidP="00EC4BBF">
      <w:pPr>
        <w:pStyle w:val="ListParagraph"/>
        <w:numPr>
          <w:ilvl w:val="0"/>
          <w:numId w:val="21"/>
        </w:numPr>
        <w:spacing w:line="360" w:lineRule="auto"/>
      </w:pPr>
      <w:r>
        <w:t xml:space="preserve">Being employed </w:t>
      </w:r>
      <w:r w:rsidR="00163A0F">
        <w:t>- aOR 1.44 (95% CI</w:t>
      </w:r>
      <w:r w:rsidR="00EC4BBF">
        <w:t xml:space="preserve"> 1.22-</w:t>
      </w:r>
      <w:r w:rsidR="00EC4BBF" w:rsidRPr="00EC4BBF">
        <w:t>1.70</w:t>
      </w:r>
      <w:r w:rsidR="00163A0F">
        <w:t>)</w:t>
      </w:r>
    </w:p>
    <w:p w14:paraId="65CAC10E" w14:textId="1D018714" w:rsidR="00A34653" w:rsidRDefault="00163A0F" w:rsidP="00EC4BBF">
      <w:pPr>
        <w:pStyle w:val="ListParagraph"/>
        <w:numPr>
          <w:ilvl w:val="0"/>
          <w:numId w:val="21"/>
        </w:numPr>
        <w:spacing w:line="360" w:lineRule="auto"/>
      </w:pPr>
      <w:r>
        <w:t xml:space="preserve">Living rurally - aOR 0.55 (95% CI </w:t>
      </w:r>
      <w:r w:rsidR="00EC4BBF">
        <w:t>0.40-</w:t>
      </w:r>
      <w:r w:rsidR="00EC4BBF" w:rsidRPr="00EC4BBF">
        <w:t>0.76</w:t>
      </w:r>
      <w:r>
        <w:t>)</w:t>
      </w:r>
    </w:p>
    <w:p w14:paraId="7E9B5BAB" w14:textId="31FF3A49" w:rsidR="00A34653" w:rsidRDefault="00A34653" w:rsidP="00EC4BBF">
      <w:pPr>
        <w:pStyle w:val="ListParagraph"/>
        <w:numPr>
          <w:ilvl w:val="0"/>
          <w:numId w:val="21"/>
        </w:numPr>
        <w:spacing w:line="360" w:lineRule="auto"/>
      </w:pPr>
      <w:r>
        <w:t>Living in the central region</w:t>
      </w:r>
      <w:r w:rsidR="00163A0F">
        <w:t xml:space="preserve"> – aOR 0.55 (95% CI </w:t>
      </w:r>
      <w:r w:rsidR="00EC4BBF">
        <w:t>0.41-</w:t>
      </w:r>
      <w:r w:rsidR="00EC4BBF" w:rsidRPr="00EC4BBF">
        <w:t>0.7</w:t>
      </w:r>
      <w:r w:rsidR="00163A0F">
        <w:t>)</w:t>
      </w:r>
    </w:p>
    <w:p w14:paraId="0078B439" w14:textId="2FE77EEE" w:rsidR="00A34653" w:rsidRDefault="00A34653" w:rsidP="00EC4BBF">
      <w:pPr>
        <w:pStyle w:val="ListParagraph"/>
        <w:numPr>
          <w:ilvl w:val="0"/>
          <w:numId w:val="21"/>
        </w:numPr>
        <w:spacing w:line="360" w:lineRule="auto"/>
      </w:pPr>
      <w:r>
        <w:t>Living in the southern region</w:t>
      </w:r>
      <w:r w:rsidR="00163A0F">
        <w:t xml:space="preserve"> – aOR 0.47 (95% CI </w:t>
      </w:r>
      <w:r w:rsidR="00EC4BBF">
        <w:t>0.35-0.61</w:t>
      </w:r>
      <w:r w:rsidR="00163A0F">
        <w:t>)</w:t>
      </w:r>
    </w:p>
    <w:p w14:paraId="2A510C7A" w14:textId="6F567BEA" w:rsidR="001C642C" w:rsidRDefault="001C642C" w:rsidP="00EC4BBF">
      <w:pPr>
        <w:pStyle w:val="ListParagraph"/>
        <w:numPr>
          <w:ilvl w:val="0"/>
          <w:numId w:val="21"/>
        </w:numPr>
        <w:spacing w:line="360" w:lineRule="auto"/>
      </w:pPr>
      <w:r>
        <w:t>Richest wealth quintile</w:t>
      </w:r>
      <w:r w:rsidR="00163A0F">
        <w:t xml:space="preserve"> – aOR 0.72 (95% CI </w:t>
      </w:r>
      <w:r w:rsidR="00EC4BBF">
        <w:t>0.53-</w:t>
      </w:r>
      <w:r w:rsidR="00EC4BBF" w:rsidRPr="00EC4BBF">
        <w:t>0.98</w:t>
      </w:r>
      <w:r w:rsidR="00163A0F">
        <w:t>)</w:t>
      </w:r>
    </w:p>
    <w:p w14:paraId="72E590AD" w14:textId="0B486CAF" w:rsidR="00163A0F" w:rsidRDefault="00163A0F" w:rsidP="00EC4BBF">
      <w:pPr>
        <w:pStyle w:val="ListParagraph"/>
        <w:numPr>
          <w:ilvl w:val="0"/>
          <w:numId w:val="21"/>
        </w:numPr>
        <w:spacing w:line="360" w:lineRule="auto"/>
      </w:pPr>
      <w:r>
        <w:t xml:space="preserve">4+ ANC visits – aOR 1.20 (95% CI </w:t>
      </w:r>
      <w:r w:rsidR="00EC4BBF">
        <w:t>1.02-1.40</w:t>
      </w:r>
      <w:r>
        <w:t>)</w:t>
      </w:r>
    </w:p>
    <w:p w14:paraId="7F7C349B" w14:textId="26549B6E" w:rsidR="001C642C" w:rsidRDefault="001C642C" w:rsidP="00EC4BBF">
      <w:pPr>
        <w:pStyle w:val="ListParagraph"/>
        <w:numPr>
          <w:ilvl w:val="0"/>
          <w:numId w:val="21"/>
        </w:numPr>
        <w:spacing w:line="360" w:lineRule="auto"/>
      </w:pPr>
      <w:r>
        <w:t>Caesarean delivery</w:t>
      </w:r>
      <w:r w:rsidR="00163A0F">
        <w:t xml:space="preserve"> – aOR 1.93 (95% CI </w:t>
      </w:r>
      <w:r w:rsidR="00EC4BBF">
        <w:t>1.38-</w:t>
      </w:r>
      <w:r w:rsidR="00EC4BBF" w:rsidRPr="00EC4BBF">
        <w:t>2.69</w:t>
      </w:r>
      <w:r w:rsidR="00163A0F">
        <w:t>)</w:t>
      </w:r>
    </w:p>
    <w:p w14:paraId="302975AD" w14:textId="79ED96B3" w:rsidR="001C642C" w:rsidRDefault="001C642C" w:rsidP="00EC4BBF">
      <w:pPr>
        <w:pStyle w:val="ListParagraph"/>
        <w:numPr>
          <w:ilvl w:val="0"/>
          <w:numId w:val="21"/>
        </w:numPr>
        <w:spacing w:line="360" w:lineRule="auto"/>
      </w:pPr>
      <w:r>
        <w:lastRenderedPageBreak/>
        <w:t xml:space="preserve">Facility birth </w:t>
      </w:r>
      <w:r w:rsidR="00163A0F">
        <w:t xml:space="preserve">– aOR 1.91 (95% CI </w:t>
      </w:r>
      <w:r w:rsidR="00EC4BBF">
        <w:t>1.03-</w:t>
      </w:r>
      <w:r w:rsidR="00EC4BBF" w:rsidRPr="00EC4BBF">
        <w:t>3.55</w:t>
      </w:r>
      <w:r w:rsidR="00163A0F">
        <w:t>)</w:t>
      </w:r>
    </w:p>
    <w:p w14:paraId="3E8A0081" w14:textId="131F54DB" w:rsidR="001C642C" w:rsidRDefault="001C642C" w:rsidP="00EC4BBF">
      <w:pPr>
        <w:pStyle w:val="ListParagraph"/>
        <w:numPr>
          <w:ilvl w:val="0"/>
          <w:numId w:val="21"/>
        </w:numPr>
        <w:spacing w:line="360" w:lineRule="auto"/>
      </w:pPr>
      <w:r>
        <w:t>Number of living children greater than 5</w:t>
      </w:r>
      <w:r w:rsidR="00163A0F">
        <w:t xml:space="preserve"> – aOR 0.33  (95% CI </w:t>
      </w:r>
      <w:r w:rsidR="00EC4BBF" w:rsidRPr="00EC4BBF">
        <w:t>0.</w:t>
      </w:r>
      <w:r w:rsidR="00EC4BBF">
        <w:t>46-</w:t>
      </w:r>
      <w:r w:rsidR="00EC4BBF" w:rsidRPr="00EC4BBF">
        <w:t>0.95</w:t>
      </w:r>
      <w:r w:rsidR="00163A0F">
        <w:t>)</w:t>
      </w:r>
    </w:p>
    <w:p w14:paraId="244DD3D0" w14:textId="044A1AB6" w:rsidR="008411A2" w:rsidRPr="002F5B63" w:rsidRDefault="00DD39DC" w:rsidP="00CC4D92">
      <w:pPr>
        <w:spacing w:line="360" w:lineRule="auto"/>
        <w:rPr>
          <w:b/>
          <w:bCs/>
          <w:color w:val="A8D08D" w:themeColor="accent6" w:themeTint="99"/>
        </w:rPr>
      </w:pPr>
      <w:r w:rsidRPr="00AB4714">
        <w:t>Currently</w:t>
      </w:r>
      <w:r>
        <w:t xml:space="preserve"> care- </w:t>
      </w:r>
      <w:r w:rsidRPr="00AB4714">
        <w:t xml:space="preserve">seeking is determined with a fixed probability, not influenced by </w:t>
      </w:r>
      <w:r>
        <w:t xml:space="preserve">the above </w:t>
      </w:r>
      <w:r w:rsidRPr="00AB4714">
        <w:t>risk factors, which is increased for women who experience complications in week one, as we assume they are more likely to return to a facility for additional treatment.</w:t>
      </w:r>
      <w:r>
        <w:t xml:space="preserve"> Following a finalised comparison of studies evaluating the effect of maternal characteristics on PNC attendance we intend to include </w:t>
      </w:r>
      <w:r w:rsidR="006C0F1C">
        <w:t>relevant</w:t>
      </w:r>
      <w:r>
        <w:t xml:space="preserve"> effects within a care seeking equation. </w:t>
      </w:r>
    </w:p>
    <w:p w14:paraId="0751825F" w14:textId="20FEDFAB" w:rsidR="00C63ADA" w:rsidRDefault="00C63ADA" w:rsidP="00C63ADA">
      <w:pPr>
        <w:rPr>
          <w:b/>
          <w:bCs/>
          <w:color w:val="A8D08D" w:themeColor="accent6" w:themeTint="99"/>
        </w:rPr>
      </w:pPr>
      <w:r>
        <w:rPr>
          <w:b/>
          <w:bCs/>
          <w:color w:val="A8D08D" w:themeColor="accent6" w:themeTint="99"/>
        </w:rPr>
        <w:t>Postnatal care interventions</w:t>
      </w:r>
    </w:p>
    <w:p w14:paraId="637989A1" w14:textId="167ACDC5" w:rsidR="00E4642E" w:rsidRDefault="00B12A73" w:rsidP="004E7273">
      <w:pPr>
        <w:spacing w:line="360" w:lineRule="auto"/>
      </w:pPr>
      <w:r w:rsidRPr="00B12A73">
        <w:t xml:space="preserve">We have adapted the recommended </w:t>
      </w:r>
      <w:r w:rsidR="00617945">
        <w:t xml:space="preserve">postnatal </w:t>
      </w:r>
      <w:r w:rsidRPr="00B12A73">
        <w:t xml:space="preserve">interventions from the </w:t>
      </w:r>
      <w:r>
        <w:t xml:space="preserve">NRHSDG document </w:t>
      </w:r>
      <w:r>
        <w:fldChar w:fldCharType="begin" w:fldLock="1"/>
      </w:r>
      <w:r>
        <w:instrText>ADDIN CSL_CITATION {"citationItems":[{"id":"ITEM-1","itemData":{"author":[{"dropping-particle":"","family":"The Government of the Republic of Malawi","given":"","non-dropping-particle":"","parse-names":false,"suffix":""}],"id":"ITEM-1","issued":{"date-parts":[["2014"]]},"title":"Malawi National Reproductive Health Service Delivery Guidelines","type":"article"},"uris":["http://www.mendeley.com/documents/?uuid=eb9f09b3-b793-4dd1-9722-c2b074f6e2b3"]}],"mendeley":{"formattedCitation":"(The Government of the Republic of Malawi, 2014)","manualFormatting":"(Government of the Republic of Malawi, 2014)","plainTextFormattedCitation":"(The Government of the Republic of Malawi, 2014)","previouslyFormattedCitation":"(The Government of the Republic of Malawi, 2014)"},"properties":{"noteIndex":0},"schema":"https://github.com/citation-style-language/schema/raw/master/csl-citation.json"}</w:instrText>
      </w:r>
      <w:r>
        <w:fldChar w:fldCharType="separate"/>
      </w:r>
      <w:r>
        <w:rPr>
          <w:noProof/>
        </w:rPr>
        <w:t>(</w:t>
      </w:r>
      <w:r w:rsidRPr="00284995">
        <w:rPr>
          <w:noProof/>
        </w:rPr>
        <w:t>Government of the Republic of Malawi, 2014)</w:t>
      </w:r>
      <w:r>
        <w:fldChar w:fldCharType="end"/>
      </w:r>
      <w:r>
        <w:t xml:space="preserve"> and the Malawi Standard Treatment Guidelines (Ref).</w:t>
      </w:r>
      <w:r w:rsidR="00E4642E">
        <w:t xml:space="preserve"> Figure 4 provides an overview of the health system interactions relevant to the postnatal period</w:t>
      </w:r>
      <w:r w:rsidR="002975BD">
        <w:t>.</w:t>
      </w:r>
    </w:p>
    <w:p w14:paraId="314E17C3" w14:textId="77777777" w:rsidR="00E4642E" w:rsidRDefault="00E4642E" w:rsidP="004E7273">
      <w:pPr>
        <w:spacing w:line="360" w:lineRule="auto"/>
      </w:pPr>
    </w:p>
    <w:p w14:paraId="63CA783E" w14:textId="659B60EF" w:rsidR="00E4642E" w:rsidRDefault="00E4642E" w:rsidP="00E4642E">
      <w:pPr>
        <w:rPr>
          <w:b/>
        </w:rPr>
      </w:pPr>
      <w:r>
        <w:rPr>
          <w:b/>
        </w:rPr>
        <w:t>Figure 4</w:t>
      </w:r>
      <w:r w:rsidRPr="002D6EE0">
        <w:rPr>
          <w:b/>
        </w:rPr>
        <w:t xml:space="preserve">.  </w:t>
      </w:r>
      <w:r>
        <w:rPr>
          <w:b/>
        </w:rPr>
        <w:t xml:space="preserve">Flow of health system interactions in the postnatal period </w:t>
      </w:r>
    </w:p>
    <w:p w14:paraId="0149BEC7" w14:textId="14E29C93" w:rsidR="00E4642E" w:rsidRDefault="00E4642E" w:rsidP="004E7273">
      <w:pPr>
        <w:spacing w:line="360" w:lineRule="auto"/>
      </w:pPr>
      <w:r>
        <w:rPr>
          <w:b/>
          <w:bCs/>
          <w:noProof/>
          <w:color w:val="A8D08D" w:themeColor="accent6" w:themeTint="99"/>
          <w:lang w:eastAsia="en-GB"/>
        </w:rPr>
        <w:drawing>
          <wp:anchor distT="0" distB="0" distL="114300" distR="114300" simplePos="0" relativeHeight="251661312" behindDoc="0" locked="0" layoutInCell="1" allowOverlap="1" wp14:anchorId="0877F6E3" wp14:editId="485A2117">
            <wp:simplePos x="0" y="0"/>
            <wp:positionH relativeFrom="margin">
              <wp:posOffset>-79265</wp:posOffset>
            </wp:positionH>
            <wp:positionV relativeFrom="paragraph">
              <wp:posOffset>264491</wp:posOffset>
            </wp:positionV>
            <wp:extent cx="6354578" cy="4913906"/>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natal complications .jpeg"/>
                    <pic:cNvPicPr/>
                  </pic:nvPicPr>
                  <pic:blipFill rotWithShape="1">
                    <a:blip r:embed="rId11" cstate="print">
                      <a:extLst>
                        <a:ext uri="{28A0092B-C50C-407E-A947-70E740481C1C}">
                          <a14:useLocalDpi xmlns:a14="http://schemas.microsoft.com/office/drawing/2010/main" val="0"/>
                        </a:ext>
                      </a:extLst>
                    </a:blip>
                    <a:srcRect l="4856" t="8366" r="6355" b="9472"/>
                    <a:stretch/>
                  </pic:blipFill>
                  <pic:spPr bwMode="auto">
                    <a:xfrm>
                      <a:off x="0" y="0"/>
                      <a:ext cx="6354578" cy="49139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9ABB4" w14:textId="0232960E" w:rsidR="00E4642E" w:rsidRDefault="00E4642E" w:rsidP="004E7273">
      <w:pPr>
        <w:spacing w:line="360" w:lineRule="auto"/>
      </w:pPr>
    </w:p>
    <w:p w14:paraId="6AC5EB0B" w14:textId="28D686AB" w:rsidR="00E4642E" w:rsidRDefault="00E4642E" w:rsidP="004E7273">
      <w:pPr>
        <w:spacing w:line="360" w:lineRule="auto"/>
      </w:pPr>
    </w:p>
    <w:p w14:paraId="5FED40F4" w14:textId="7F293F0A" w:rsidR="00E4642E" w:rsidRDefault="00E4642E" w:rsidP="004E7273">
      <w:pPr>
        <w:spacing w:line="360" w:lineRule="auto"/>
      </w:pPr>
    </w:p>
    <w:p w14:paraId="2F6B27E0" w14:textId="68C1BD45" w:rsidR="00E4642E" w:rsidRDefault="00E4642E" w:rsidP="004E7273">
      <w:pPr>
        <w:spacing w:line="360" w:lineRule="auto"/>
      </w:pPr>
    </w:p>
    <w:p w14:paraId="4D959B1A" w14:textId="33196F94" w:rsidR="00E4642E" w:rsidRDefault="00E4642E" w:rsidP="004E7273">
      <w:pPr>
        <w:spacing w:line="360" w:lineRule="auto"/>
      </w:pPr>
    </w:p>
    <w:p w14:paraId="70588D96" w14:textId="024DD4FE" w:rsidR="00E4642E" w:rsidRDefault="00E4642E" w:rsidP="004E7273">
      <w:pPr>
        <w:spacing w:line="360" w:lineRule="auto"/>
      </w:pPr>
    </w:p>
    <w:p w14:paraId="7F0F3BB9" w14:textId="2F63A7D8" w:rsidR="00E4642E" w:rsidRDefault="00E4642E" w:rsidP="004E7273">
      <w:pPr>
        <w:spacing w:line="360" w:lineRule="auto"/>
      </w:pPr>
    </w:p>
    <w:p w14:paraId="0C88A2F5" w14:textId="46D960ED" w:rsidR="00E4642E" w:rsidRDefault="00E4642E" w:rsidP="004E7273">
      <w:pPr>
        <w:spacing w:line="360" w:lineRule="auto"/>
      </w:pPr>
    </w:p>
    <w:p w14:paraId="69E8EF3D" w14:textId="282ED725" w:rsidR="00E4642E" w:rsidRDefault="00E4642E" w:rsidP="004E7273">
      <w:pPr>
        <w:spacing w:line="360" w:lineRule="auto"/>
      </w:pPr>
    </w:p>
    <w:p w14:paraId="28007412" w14:textId="347190E9" w:rsidR="00E4642E" w:rsidRDefault="00E4642E" w:rsidP="004E7273">
      <w:pPr>
        <w:spacing w:line="360" w:lineRule="auto"/>
      </w:pPr>
    </w:p>
    <w:p w14:paraId="03D1013B" w14:textId="0428EBF6" w:rsidR="00E4642E" w:rsidRDefault="00E4642E" w:rsidP="004E7273">
      <w:pPr>
        <w:spacing w:line="360" w:lineRule="auto"/>
      </w:pPr>
    </w:p>
    <w:p w14:paraId="30F0E056" w14:textId="3449618B" w:rsidR="00E4642E" w:rsidRDefault="00E4642E" w:rsidP="004E7273">
      <w:pPr>
        <w:spacing w:line="360" w:lineRule="auto"/>
      </w:pPr>
    </w:p>
    <w:p w14:paraId="4D5F8051" w14:textId="0034B80A" w:rsidR="00E4642E" w:rsidRPr="00B12A73" w:rsidRDefault="00E4642E" w:rsidP="004E7273">
      <w:pPr>
        <w:spacing w:line="360" w:lineRule="auto"/>
      </w:pPr>
    </w:p>
    <w:p w14:paraId="59443BA4" w14:textId="1AE6F8BE" w:rsidR="00284995" w:rsidRPr="002049C1" w:rsidRDefault="00B12A73" w:rsidP="004E7273">
      <w:pPr>
        <w:rPr>
          <w:b/>
          <w:bCs/>
          <w:i/>
          <w:color w:val="A8D08D" w:themeColor="accent6" w:themeTint="99"/>
        </w:rPr>
      </w:pPr>
      <w:r w:rsidRPr="002049C1">
        <w:rPr>
          <w:b/>
          <w:bCs/>
          <w:i/>
          <w:color w:val="A8D08D" w:themeColor="accent6" w:themeTint="99"/>
        </w:rPr>
        <w:lastRenderedPageBreak/>
        <w:t>Initial PNC following delivery</w:t>
      </w:r>
    </w:p>
    <w:p w14:paraId="3883A051" w14:textId="262EFA06" w:rsidR="00B12A73" w:rsidRPr="004E7273" w:rsidRDefault="00617945" w:rsidP="004E7273">
      <w:pPr>
        <w:spacing w:line="360" w:lineRule="auto"/>
      </w:pPr>
      <w:r w:rsidRPr="00617945">
        <w:t>As described above</w:t>
      </w:r>
      <w:r w:rsidR="00366246">
        <w:t xml:space="preserve"> and seen in figure 4,</w:t>
      </w:r>
      <w:r w:rsidRPr="00617945">
        <w:t xml:space="preserve"> </w:t>
      </w:r>
      <w:r>
        <w:t>i</w:t>
      </w:r>
      <w:r w:rsidR="00B12A73" w:rsidRPr="00B12A73">
        <w:t xml:space="preserve">nitial </w:t>
      </w:r>
      <w:r w:rsidR="00B12A73">
        <w:t xml:space="preserve">prophylactic and curative </w:t>
      </w:r>
      <w:r w:rsidR="00B12A73" w:rsidRPr="00B12A73">
        <w:t>interventions provided by skilled birth attendants to women</w:t>
      </w:r>
      <w:r>
        <w:t xml:space="preserve"> and newborns</w:t>
      </w:r>
      <w:r w:rsidR="00B12A73" w:rsidRPr="00B12A73">
        <w:t xml:space="preserve"> immediately following birth are managed withi</w:t>
      </w:r>
      <w:r>
        <w:t>n the Labour and newborn models. For reference these interventions are</w:t>
      </w:r>
      <w:r w:rsidR="00B12A73" w:rsidRPr="00B12A73">
        <w:t>:</w:t>
      </w:r>
    </w:p>
    <w:p w14:paraId="0912BE98" w14:textId="7594467C" w:rsidR="00B12A73" w:rsidRPr="00B12A73" w:rsidRDefault="00B12A73" w:rsidP="00B12A73">
      <w:pPr>
        <w:pStyle w:val="ListParagraph"/>
        <w:numPr>
          <w:ilvl w:val="0"/>
          <w:numId w:val="21"/>
        </w:numPr>
        <w:spacing w:line="360" w:lineRule="auto"/>
      </w:pPr>
      <w:r w:rsidRPr="00B12A73">
        <w:t>Active management of the third stage of labour</w:t>
      </w:r>
    </w:p>
    <w:p w14:paraId="54610233" w14:textId="57F554C8" w:rsidR="00B12A73" w:rsidRPr="00B12A73" w:rsidRDefault="00B12A73" w:rsidP="00B12A73">
      <w:pPr>
        <w:pStyle w:val="ListParagraph"/>
        <w:numPr>
          <w:ilvl w:val="0"/>
          <w:numId w:val="21"/>
        </w:numPr>
        <w:spacing w:line="360" w:lineRule="auto"/>
      </w:pPr>
      <w:r w:rsidRPr="00B12A73">
        <w:t>Case management of primary postpartum haemorrhage</w:t>
      </w:r>
    </w:p>
    <w:p w14:paraId="1C11F838" w14:textId="6D1BF4DF" w:rsidR="00B12A73" w:rsidRPr="00B12A73" w:rsidRDefault="00B12A73" w:rsidP="00B12A73">
      <w:pPr>
        <w:pStyle w:val="ListParagraph"/>
        <w:numPr>
          <w:ilvl w:val="0"/>
          <w:numId w:val="21"/>
        </w:numPr>
        <w:spacing w:line="360" w:lineRule="auto"/>
      </w:pPr>
      <w:r w:rsidRPr="00B12A73">
        <w:t>Case management of hypertension and severe pre-eclampsia/eclampsia</w:t>
      </w:r>
    </w:p>
    <w:p w14:paraId="47038A24" w14:textId="7AD0958B" w:rsidR="00B12A73" w:rsidRDefault="00B12A73" w:rsidP="00B12A73">
      <w:pPr>
        <w:pStyle w:val="ListParagraph"/>
        <w:numPr>
          <w:ilvl w:val="0"/>
          <w:numId w:val="21"/>
        </w:numPr>
        <w:spacing w:line="360" w:lineRule="auto"/>
      </w:pPr>
      <w:r w:rsidRPr="00B12A73">
        <w:t xml:space="preserve">Case management of maternal sepsis </w:t>
      </w:r>
      <w:r w:rsidR="00CB2C37">
        <w:t>(</w:t>
      </w:r>
      <w:r w:rsidR="004E7273">
        <w:t>prior to discharge)</w:t>
      </w:r>
    </w:p>
    <w:p w14:paraId="5EFB8489" w14:textId="3DFE7110" w:rsidR="00617945" w:rsidRDefault="00617945" w:rsidP="004E7273">
      <w:pPr>
        <w:pStyle w:val="ListParagraph"/>
        <w:numPr>
          <w:ilvl w:val="0"/>
          <w:numId w:val="21"/>
        </w:numPr>
        <w:spacing w:line="360" w:lineRule="auto"/>
      </w:pPr>
      <w:r>
        <w:t>Case management of neonatal sepsis</w:t>
      </w:r>
      <w:r w:rsidR="004E7273">
        <w:t xml:space="preserve"> (prior to discharge)</w:t>
      </w:r>
    </w:p>
    <w:p w14:paraId="0A3957C6" w14:textId="3460E4CF" w:rsidR="00617945" w:rsidRDefault="00617945" w:rsidP="00B12A73">
      <w:pPr>
        <w:pStyle w:val="ListParagraph"/>
        <w:numPr>
          <w:ilvl w:val="0"/>
          <w:numId w:val="21"/>
        </w:numPr>
        <w:spacing w:line="360" w:lineRule="auto"/>
      </w:pPr>
      <w:r>
        <w:t>Neonatal resuscitation</w:t>
      </w:r>
    </w:p>
    <w:p w14:paraId="3D049BA1" w14:textId="659CEF97" w:rsidR="00617945" w:rsidRDefault="00617945" w:rsidP="00B12A73">
      <w:pPr>
        <w:pStyle w:val="ListParagraph"/>
        <w:numPr>
          <w:ilvl w:val="0"/>
          <w:numId w:val="21"/>
        </w:numPr>
        <w:spacing w:line="360" w:lineRule="auto"/>
      </w:pPr>
      <w:r>
        <w:t>Essential newborn care (chlorhexidine cord care, vitamin K prophylaxis, tetracycline eye care, early initiation of breastfeeding)</w:t>
      </w:r>
    </w:p>
    <w:p w14:paraId="34085253" w14:textId="2A63A9E9" w:rsidR="00617945" w:rsidRDefault="00617945" w:rsidP="00B12A73">
      <w:pPr>
        <w:pStyle w:val="ListParagraph"/>
        <w:numPr>
          <w:ilvl w:val="0"/>
          <w:numId w:val="21"/>
        </w:numPr>
        <w:spacing w:line="360" w:lineRule="auto"/>
      </w:pPr>
      <w:r>
        <w:t>Kangaroo mother care</w:t>
      </w:r>
    </w:p>
    <w:p w14:paraId="01A39BA9" w14:textId="33509CF2" w:rsidR="004D2AB7" w:rsidRDefault="00FA5509" w:rsidP="00617945">
      <w:pPr>
        <w:spacing w:line="360" w:lineRule="auto"/>
      </w:pPr>
      <w:r>
        <w:t xml:space="preserve">The modelled effects, </w:t>
      </w:r>
      <w:r w:rsidR="00617945">
        <w:t xml:space="preserve">underlying descriptions of these interventions </w:t>
      </w:r>
      <w:r>
        <w:t xml:space="preserve">and the approach to modelling quality of care </w:t>
      </w:r>
      <w:r w:rsidR="00617945">
        <w:t xml:space="preserve">are provided in the labour and newborn model methods documentation. </w:t>
      </w:r>
      <w:r w:rsidR="004D2AB7">
        <w:t>Prior to discharge, for those who have survived the immediate postnatal period guidelines recommend a number of interventions for mother and/or baby</w:t>
      </w:r>
      <w:r w:rsidR="002049C1">
        <w:t xml:space="preserve"> – described in the following sections</w:t>
      </w:r>
      <w:r w:rsidR="00366246">
        <w:t>.</w:t>
      </w:r>
    </w:p>
    <w:p w14:paraId="760C77B8" w14:textId="76D44833" w:rsidR="002049C1" w:rsidRPr="002049C1" w:rsidRDefault="002049C1" w:rsidP="002049C1">
      <w:pPr>
        <w:rPr>
          <w:b/>
          <w:bCs/>
          <w:i/>
          <w:color w:val="A8D08D" w:themeColor="accent6" w:themeTint="99"/>
        </w:rPr>
      </w:pPr>
      <w:r w:rsidRPr="002049C1">
        <w:rPr>
          <w:b/>
          <w:bCs/>
          <w:i/>
          <w:color w:val="A8D08D" w:themeColor="accent6" w:themeTint="99"/>
        </w:rPr>
        <w:t>HIV</w:t>
      </w:r>
      <w:r>
        <w:rPr>
          <w:b/>
          <w:bCs/>
          <w:i/>
          <w:color w:val="A8D08D" w:themeColor="accent6" w:themeTint="99"/>
        </w:rPr>
        <w:t xml:space="preserve"> screening and prophylaxis</w:t>
      </w:r>
    </w:p>
    <w:p w14:paraId="47E02631" w14:textId="3AD666D8" w:rsidR="00264D40" w:rsidRDefault="002049C1" w:rsidP="00617945">
      <w:pPr>
        <w:spacing w:line="360" w:lineRule="auto"/>
      </w:pPr>
      <w:r>
        <w:t xml:space="preserve">The NRHSDG offer guidance for the management of HIV and HIV related risk in the postnatal period. </w:t>
      </w:r>
      <w:r w:rsidR="00264D40">
        <w:t>The natural history of HIV in the population, all related interventions and screening are managed by the HIV model. This model links with the HIV model in regards to scheduling some screening interventions during antenatal care and postnatal care.</w:t>
      </w:r>
    </w:p>
    <w:p w14:paraId="0574CFC0" w14:textId="38BD083C" w:rsidR="00DA3D1F" w:rsidRDefault="002049C1" w:rsidP="00617945">
      <w:pPr>
        <w:spacing w:line="360" w:lineRule="auto"/>
      </w:pPr>
      <w:r>
        <w:t xml:space="preserve">For women with unknown serostatus, HIV testing is recommended. </w:t>
      </w:r>
      <w:r w:rsidR="004D2AB7">
        <w:t xml:space="preserve">Currently all women in the model who deliver in a facility are scheduled to receive a routine HIV </w:t>
      </w:r>
      <w:r w:rsidR="00E43237">
        <w:t>testing</w:t>
      </w:r>
      <w:r w:rsidR="004D2AB7">
        <w:t xml:space="preserve"> following delivery. </w:t>
      </w:r>
      <w:r w:rsidR="00E43237">
        <w:t xml:space="preserve">This testing intervention is managed by the HIV model which will initiate treatment and monitoring for any women found to be HIV positive (and not currently on treatment) after delivery. </w:t>
      </w:r>
      <w:r>
        <w:t xml:space="preserve">Additionally to testing the HIV model is responsible for interventions around prevention of mother to child transmission of HIV (PMTC).  </w:t>
      </w:r>
      <w:r w:rsidR="00E43237">
        <w:t xml:space="preserve"> </w:t>
      </w:r>
      <w:r w:rsidR="00DA3D1F">
        <w:t>Broadly, neonates born to mothers who are HIV positive are tested for HIV following delivery. If the neonate is found to be HIV+ they are started on treatment and monitoring, if they are negative they are started on prophylaxis.</w:t>
      </w:r>
      <w:r w:rsidR="00264D40">
        <w:t xml:space="preserve"> Additional follow-up screening for HIV in exposed neonates occurs in future PNC visits described below. </w:t>
      </w:r>
    </w:p>
    <w:p w14:paraId="76BA6ECF" w14:textId="77777777" w:rsidR="00366246" w:rsidRDefault="00366246" w:rsidP="00B12A73">
      <w:pPr>
        <w:rPr>
          <w:b/>
          <w:bCs/>
          <w:i/>
          <w:color w:val="A8D08D" w:themeColor="accent6" w:themeTint="99"/>
        </w:rPr>
      </w:pPr>
    </w:p>
    <w:p w14:paraId="1F6ABC2D" w14:textId="36A1C2C9" w:rsidR="00BE0CCD" w:rsidRPr="002049C1" w:rsidRDefault="002049C1" w:rsidP="00B12A73">
      <w:pPr>
        <w:rPr>
          <w:b/>
          <w:bCs/>
          <w:i/>
          <w:color w:val="A8D08D" w:themeColor="accent6" w:themeTint="99"/>
        </w:rPr>
      </w:pPr>
      <w:r w:rsidRPr="002049C1">
        <w:rPr>
          <w:b/>
          <w:bCs/>
          <w:i/>
          <w:color w:val="A8D08D" w:themeColor="accent6" w:themeTint="99"/>
        </w:rPr>
        <w:lastRenderedPageBreak/>
        <w:t>Immunisation</w:t>
      </w:r>
    </w:p>
    <w:p w14:paraId="14DAC909" w14:textId="510F95F4" w:rsidR="002049C1" w:rsidRPr="002049C1" w:rsidRDefault="00BE0CCD" w:rsidP="00D922B2">
      <w:pPr>
        <w:spacing w:line="360" w:lineRule="auto"/>
      </w:pPr>
      <w:r>
        <w:t xml:space="preserve">As part of PNC pre-discharge we assume all neonates are offered routine post-birth vaccinations </w:t>
      </w:r>
      <w:r w:rsidR="00D922B2">
        <w:t xml:space="preserve">including tuberculosis and polio. </w:t>
      </w:r>
      <w:r w:rsidR="002049C1" w:rsidRPr="002049C1">
        <w:t xml:space="preserve">The effect of these interventions on disease burden are managed via the EPI model but consumables are managed within this model. </w:t>
      </w:r>
    </w:p>
    <w:p w14:paraId="60FC6C48" w14:textId="16A60D28" w:rsidR="002049C1" w:rsidRPr="002049C1" w:rsidRDefault="002049C1" w:rsidP="002049C1">
      <w:pPr>
        <w:rPr>
          <w:b/>
          <w:bCs/>
          <w:i/>
          <w:color w:val="A8D08D" w:themeColor="accent6" w:themeTint="99"/>
        </w:rPr>
      </w:pPr>
      <w:r w:rsidRPr="002049C1">
        <w:rPr>
          <w:b/>
          <w:bCs/>
          <w:i/>
          <w:color w:val="A8D08D" w:themeColor="accent6" w:themeTint="99"/>
        </w:rPr>
        <w:t xml:space="preserve">Family planning </w:t>
      </w:r>
    </w:p>
    <w:p w14:paraId="6C893DE2" w14:textId="73F305D6" w:rsidR="00B12A73" w:rsidRPr="00DA3FE4" w:rsidRDefault="00DA3FE4" w:rsidP="00DA3FE4">
      <w:pPr>
        <w:spacing w:line="360" w:lineRule="auto"/>
      </w:pPr>
      <w:r w:rsidRPr="00DA3FE4">
        <w:t>Routine post birth family planning is managed by the contraception model</w:t>
      </w:r>
      <w:r w:rsidR="00CB2C37">
        <w:t xml:space="preserve"> and described in detail in the associated methods documentation</w:t>
      </w:r>
      <w:r w:rsidRPr="00DA3FE4">
        <w:t xml:space="preserve">. </w:t>
      </w:r>
    </w:p>
    <w:p w14:paraId="7A6A6946" w14:textId="76B7232E" w:rsidR="00B12A73" w:rsidRPr="00E5097C" w:rsidRDefault="002049C1" w:rsidP="00E5097C">
      <w:pPr>
        <w:spacing w:line="360" w:lineRule="auto"/>
      </w:pPr>
      <w:r>
        <w:rPr>
          <w:b/>
          <w:bCs/>
          <w:i/>
          <w:color w:val="A8D08D" w:themeColor="accent6" w:themeTint="99"/>
        </w:rPr>
        <w:t xml:space="preserve">Iron and Folic acid </w:t>
      </w:r>
    </w:p>
    <w:p w14:paraId="082542BA" w14:textId="39A187C7" w:rsidR="004C3088" w:rsidRPr="00233861" w:rsidRDefault="00E5097C" w:rsidP="00233861">
      <w:pPr>
        <w:spacing w:line="360" w:lineRule="auto"/>
      </w:pPr>
      <w:r w:rsidRPr="00E5097C">
        <w:t>Daly iron and folic acid supplementation is recommended for three months following all deliveries</w:t>
      </w:r>
      <w:r>
        <w:t xml:space="preserve"> and is imitated prior to discharge. We use an identical approach to that of the pregnancy supervisor and antenatal care models in that we apply a treatment effect (RR 0.44 </w:t>
      </w:r>
      <w:r>
        <w:fldChar w:fldCharType="begin" w:fldLock="1"/>
      </w:r>
      <w:r w:rsidR="00887441">
        <w:instrText>ADDIN CSL_CITATION {"citationItems":[{"id":"ITEM-1","itemData":{"DOI":"10.1002/14651858.CD004736.pub5","ISSN":"1469493X","PMID":"26198451","abstract":"Background Iron and folic acid supplementation has been the preferred intervention to improve iron stores and prevent anaemia among pregnant women, and it is thought to improve other maternal and birth outcomes. Objectives To assess the effects of daily oral iron supplements for pregnant women, either alone or in conjunction with folic acid, or with other vitamins and minerals as a public health intervention in antenatal care. Search methods We searched the Cochrane Pregnancy and Childbirth Group's Trials Register (10 January 2015). We also searched the WHO International Clinical Trials Registry Platform (ICTRP) (26 February 2015) and contacted relevant organisations for the identification of ongoing and unpublished studies (26 February 2015). Selection criteria Randomised or quasi-randomised trials evaluating the effects of oral preventive supplementation with daily iron, iron + folic acid or iron + other vitamins and minerals during pregnancy. Data collection and analysis We assessed the methodological quality of trials using standard Cochrane criteria. Two review authors independently assessed trial eligibility, extracted data and conducted checks for accuracy. We used the GRADE approach to assess the quality of the evidence for primary outcomes. We anticipated high heterogeneity among trials and we pooled trial results using a random-effects model and were cautious in our interpretation of the pooled results: the random-effects model gives the average treatment effect. Main results We included 61 trials. Forty-four trials, involving 43,274 women, contributed data and compared the effects of daily oral supplements containing iron versus no iron or placebo. Preventive iron supplementation reduced maternal anaemia at term by 70% (risk ratio (RR) 0.30; 95% confidence interval (CI) 0.19 to 0.46, 14 trials, 2199 women, low quality evidence), iron-deficiency anaemia at term (RR 0.33; 95% CI 0.16 to 0.69, six trials, 1088 women), and iron deficiency at term by 57% (RR 0.43; 95% CI 0.27 to 0.66, seven trials, 1256 women, low quality evidence). There were no clear differences between groups for severe anaemia in the second or third trimester, or maternal infection during pregnancy (RR 0.22; 95% CI 0.01 to 3.20, nine trials, 2125 women, very low quality evidence; and, RR 1.21; 95% CI 0.33 to 4.46; one trial, 727 women, low quality evidence, respectively), or maternal mortality (RR 0.33; 95% CI 0.01 to 8.19, two trials, 12,560 women, very low quality evidence),…","author":[{"dropping-particle":"","family":"Peña-Rosas","given":"Juan Pablo","non-dropping-particle":"","parse-names":false,"suffix":""},{"dropping-particle":"","family":"De-Regil","given":"Luz Maria","non-dropping-particle":"","parse-names":false,"suffix":""},{"dropping-particle":"","family":"Garcia-Casal","given":"Maria N.","non-dropping-particle":"","parse-names":false,"suffix":""},{"dropping-particle":"","family":"Dowswell","given":"Therese","non-dropping-particle":"","parse-names":false,"suffix":""}],"container-title":"Cochrane Database of Systematic Reviews","id":"ITEM-1","issue":"7","issued":{"date-parts":[["2015"]]},"page":"1-527","publisher":"John Wiley and Sons Ltd","title":"Daily oral iron supplementation during pregnancy","type":"article","volume":"2015"},"uris":["http://www.mendeley.com/documents/?uuid=a9a0d378-cf0a-3ce2-93d6-8ffb692595aa"]}],"mendeley":{"formattedCitation":"(Peña-Rosas &lt;i&gt;et al.&lt;/i&gt;, 2015)","plainTextFormattedCitation":"(Peña-Rosas et al., 2015)","previouslyFormattedCitation":"(Peña-Rosas &lt;i&gt;et al.&lt;/i&gt;, 2015)"},"properties":{"noteIndex":0},"schema":"https://github.com/citation-style-language/schema/raw/master/csl-citation.json"}</w:instrText>
      </w:r>
      <w:r>
        <w:fldChar w:fldCharType="separate"/>
      </w:r>
      <w:r w:rsidRPr="00E5097C">
        <w:rPr>
          <w:noProof/>
        </w:rPr>
        <w:t xml:space="preserve">(Peña-Rosas </w:t>
      </w:r>
      <w:r w:rsidRPr="00E5097C">
        <w:rPr>
          <w:i/>
          <w:noProof/>
        </w:rPr>
        <w:t>et al.</w:t>
      </w:r>
      <w:r w:rsidRPr="00E5097C">
        <w:rPr>
          <w:noProof/>
        </w:rPr>
        <w:t>, 2015)</w:t>
      </w:r>
      <w:r>
        <w:fldChar w:fldCharType="end"/>
      </w:r>
      <w:r>
        <w:t xml:space="preserve">) to an individual woman’s risk of developing an iron or folate deficiency which may lead to anaemia in the postnatal period. </w:t>
      </w:r>
    </w:p>
    <w:p w14:paraId="12454529" w14:textId="6C5854EB" w:rsidR="00B12A73" w:rsidRDefault="004C3088" w:rsidP="00B12A73">
      <w:pPr>
        <w:rPr>
          <w:b/>
          <w:bCs/>
          <w:i/>
          <w:color w:val="A8D08D" w:themeColor="accent6" w:themeTint="99"/>
        </w:rPr>
      </w:pPr>
      <w:r>
        <w:rPr>
          <w:b/>
          <w:bCs/>
          <w:i/>
          <w:color w:val="A8D08D" w:themeColor="accent6" w:themeTint="99"/>
        </w:rPr>
        <w:t>O</w:t>
      </w:r>
      <w:r w:rsidR="00B12A73" w:rsidRPr="00B12A73">
        <w:rPr>
          <w:b/>
          <w:bCs/>
          <w:i/>
          <w:color w:val="A8D08D" w:themeColor="accent6" w:themeTint="99"/>
        </w:rPr>
        <w:t xml:space="preserve">utpatient PNC visits </w:t>
      </w:r>
    </w:p>
    <w:p w14:paraId="4A60FD06" w14:textId="194C9DE8" w:rsidR="00BC1DFD" w:rsidRDefault="00331DA3" w:rsidP="00BC1DFD">
      <w:pPr>
        <w:spacing w:line="360" w:lineRule="auto"/>
      </w:pPr>
      <w:r w:rsidRPr="00331DA3">
        <w:t xml:space="preserve">Additional PNC visits, following discharge, should then occur on days 7 and 42 for both mother and baby. </w:t>
      </w:r>
      <w:r w:rsidR="009F0D80">
        <w:t>As mentioned above, national reproductive</w:t>
      </w:r>
      <w:r w:rsidR="00F968A1">
        <w:t xml:space="preserve"> health</w:t>
      </w:r>
      <w:r w:rsidR="009F0D80">
        <w:t xml:space="preserve"> guidelines </w:t>
      </w:r>
      <w:r w:rsidR="00F40B56">
        <w:t xml:space="preserve">in Malawi </w:t>
      </w:r>
      <w:r w:rsidR="009F0D80">
        <w:t xml:space="preserve">do not provide an explicit matrix of interventions to be delivered during </w:t>
      </w:r>
      <w:r w:rsidR="00543F5A">
        <w:t xml:space="preserve">each of </w:t>
      </w:r>
      <w:r w:rsidR="00F968A1">
        <w:t>these</w:t>
      </w:r>
      <w:r w:rsidR="009F0D80">
        <w:t xml:space="preserve"> routine PNC </w:t>
      </w:r>
      <w:r w:rsidR="004C2BF3">
        <w:t>visits</w:t>
      </w:r>
      <w:r w:rsidR="00960A49">
        <w:t xml:space="preserve">. </w:t>
      </w:r>
      <w:r w:rsidR="00BC1DFD">
        <w:t xml:space="preserve"> In order to model intervention delivered as part of routine PNC within Malawi we reviewed possible data sources that would provide details of care delivered as part of PNC</w:t>
      </w:r>
      <w:r w:rsidR="004C3088">
        <w:t xml:space="preserve"> as described below</w:t>
      </w:r>
      <w:r w:rsidR="00BC1DFD">
        <w:t>.</w:t>
      </w:r>
    </w:p>
    <w:p w14:paraId="50B9FFC8" w14:textId="1045D246" w:rsidR="004C3088" w:rsidRPr="004C3088" w:rsidRDefault="004C3088" w:rsidP="004C3088">
      <w:pPr>
        <w:rPr>
          <w:b/>
          <w:bCs/>
          <w:i/>
          <w:color w:val="A8D08D" w:themeColor="accent6" w:themeTint="99"/>
        </w:rPr>
      </w:pPr>
      <w:r w:rsidRPr="004C3088">
        <w:rPr>
          <w:b/>
          <w:bCs/>
          <w:i/>
          <w:color w:val="A8D08D" w:themeColor="accent6" w:themeTint="99"/>
        </w:rPr>
        <w:t xml:space="preserve">Quality of care in outpatient PNC </w:t>
      </w:r>
    </w:p>
    <w:p w14:paraId="476BC766" w14:textId="28F0553B" w:rsidR="004C3088" w:rsidRDefault="004C3088" w:rsidP="004C3088">
      <w:pPr>
        <w:spacing w:line="360" w:lineRule="auto"/>
      </w:pPr>
      <w:r>
        <w:t xml:space="preserve">In order to capture variations in quality of care between PNC contacts we have adopted the same approach used within antenatal care to determine if an intervention (predominantly screening/assessment) will be conducted during the PNC visit. </w:t>
      </w:r>
      <w:r w:rsidRPr="0044187D">
        <w:rPr>
          <w:highlight w:val="yellow"/>
        </w:rPr>
        <w:t xml:space="preserve">These probabilities will be informed by the SPA data (2014) for each intervention to replicate the quality of care of </w:t>
      </w:r>
      <w:r w:rsidR="0044187D">
        <w:rPr>
          <w:highlight w:val="yellow"/>
        </w:rPr>
        <w:t>PNC</w:t>
      </w:r>
      <w:r w:rsidRPr="0044187D">
        <w:rPr>
          <w:highlight w:val="yellow"/>
        </w:rPr>
        <w:t xml:space="preserve"> contact in Malawi.</w:t>
      </w:r>
      <w:r>
        <w:t xml:space="preserve"> These probabilities appear to vary by facility type (hospital vs health centre) and this will need to be modelled accordingly. Including this logic, delivery of interventions is therefore condition</w:t>
      </w:r>
      <w:r w:rsidR="0000262C">
        <w:t>al</w:t>
      </w:r>
      <w:r>
        <w:t xml:space="preserve"> on:</w:t>
      </w:r>
    </w:p>
    <w:p w14:paraId="0CCD64FB" w14:textId="77777777" w:rsidR="004C3088" w:rsidRDefault="004C3088" w:rsidP="004C3088">
      <w:pPr>
        <w:pStyle w:val="ListParagraph"/>
        <w:numPr>
          <w:ilvl w:val="0"/>
          <w:numId w:val="18"/>
        </w:numPr>
        <w:spacing w:line="360" w:lineRule="auto"/>
      </w:pPr>
      <w:r>
        <w:t>Probability that the HCW will initiate this intervention/screening process</w:t>
      </w:r>
    </w:p>
    <w:p w14:paraId="3EA7AB41" w14:textId="358FF858" w:rsidR="004C3088" w:rsidRDefault="004C3088" w:rsidP="004C3088">
      <w:pPr>
        <w:pStyle w:val="ListParagraph"/>
        <w:numPr>
          <w:ilvl w:val="0"/>
          <w:numId w:val="18"/>
        </w:numPr>
        <w:spacing w:line="360" w:lineRule="auto"/>
      </w:pPr>
      <w:r>
        <w:t xml:space="preserve">(if applicable) sensitivity and specificity of the screening test </w:t>
      </w:r>
    </w:p>
    <w:p w14:paraId="6C041478" w14:textId="74E7DAF7" w:rsidR="004C3088" w:rsidRDefault="004C3088" w:rsidP="00BC1DFD">
      <w:pPr>
        <w:pStyle w:val="ListParagraph"/>
        <w:numPr>
          <w:ilvl w:val="0"/>
          <w:numId w:val="18"/>
        </w:numPr>
        <w:spacing w:line="360" w:lineRule="auto"/>
      </w:pPr>
      <w:r>
        <w:t>Probability that the consumables required for this intervention are available at the facility level</w:t>
      </w:r>
    </w:p>
    <w:p w14:paraId="3EF7656B" w14:textId="7D5CBFE2" w:rsidR="00BC1DFD" w:rsidRPr="00BC1DFD" w:rsidRDefault="00BC1DFD" w:rsidP="00BC1DFD">
      <w:pPr>
        <w:rPr>
          <w:b/>
          <w:bCs/>
          <w:i/>
          <w:color w:val="A8D08D" w:themeColor="accent6" w:themeTint="99"/>
        </w:rPr>
      </w:pPr>
      <w:r w:rsidRPr="00BC1DFD">
        <w:rPr>
          <w:b/>
          <w:bCs/>
          <w:i/>
          <w:color w:val="A8D08D" w:themeColor="accent6" w:themeTint="99"/>
        </w:rPr>
        <w:lastRenderedPageBreak/>
        <w:t xml:space="preserve">Content of PNC for newborns </w:t>
      </w:r>
    </w:p>
    <w:p w14:paraId="1AB3A7BA" w14:textId="4F2C507E" w:rsidR="004C3088" w:rsidRPr="00BC1DFD" w:rsidRDefault="00BC1DFD" w:rsidP="004C3088">
      <w:pPr>
        <w:spacing w:line="360" w:lineRule="auto"/>
      </w:pPr>
      <w:r>
        <w:t xml:space="preserve"> The Malawi DHS (2015) </w:t>
      </w:r>
      <w:r w:rsidR="004C3088">
        <w:t>collected data related to care delivered to newborns as part of PNC and included responses for the following interventions;</w:t>
      </w:r>
      <w:r>
        <w:t xml:space="preserve"> examination of the cord, temperature check, weight</w:t>
      </w:r>
      <w:r w:rsidR="004C3088">
        <w:t xml:space="preserve"> measurement, </w:t>
      </w:r>
      <w:r>
        <w:t xml:space="preserve">counselling </w:t>
      </w:r>
      <w:r w:rsidR="004C3088">
        <w:t xml:space="preserve">on possible neonatal danger signs </w:t>
      </w:r>
      <w:r>
        <w:t xml:space="preserve">and counselling and observation of breastfeeding. </w:t>
      </w:r>
      <w:r w:rsidR="004C3088">
        <w:t>This aligns with WHO recommendations on the content of PNC for newborns which includes assessment of the baby, initiation and monitoring of breastfeeding and cord care (WHO 2013).</w:t>
      </w:r>
      <w:r w:rsidR="00727D8E">
        <w:t xml:space="preserve"> </w:t>
      </w:r>
      <w:r w:rsidR="004C3088">
        <w:t xml:space="preserve">For neonates who were delivered in a facility we assume that recommend interventions (breastfeeding, cord care, immunisations) have been delivered and the content of PNC revolves around assessment for neonatal sepsis and referral for inpatient care. </w:t>
      </w:r>
      <w:r w:rsidR="00727D8E">
        <w:t>If the HCW performs an assessment and detects that the neonate is suffering from sepsis they will be admitted for inpatient care (described below).</w:t>
      </w:r>
    </w:p>
    <w:p w14:paraId="2D322BA0" w14:textId="26BC1C82" w:rsidR="00BC1DFD" w:rsidRPr="003652B1" w:rsidRDefault="00BC1DFD" w:rsidP="003652B1">
      <w:pPr>
        <w:rPr>
          <w:b/>
          <w:bCs/>
          <w:i/>
          <w:color w:val="A8D08D" w:themeColor="accent6" w:themeTint="99"/>
        </w:rPr>
      </w:pPr>
      <w:r w:rsidRPr="00BC1DFD">
        <w:rPr>
          <w:b/>
          <w:bCs/>
          <w:i/>
          <w:color w:val="A8D08D" w:themeColor="accent6" w:themeTint="99"/>
        </w:rPr>
        <w:t xml:space="preserve">Content of PNC for </w:t>
      </w:r>
      <w:r>
        <w:rPr>
          <w:b/>
          <w:bCs/>
          <w:i/>
          <w:color w:val="A8D08D" w:themeColor="accent6" w:themeTint="99"/>
        </w:rPr>
        <w:t>mothers</w:t>
      </w:r>
      <w:r w:rsidRPr="00BC1DFD">
        <w:rPr>
          <w:b/>
          <w:bCs/>
          <w:i/>
          <w:color w:val="A8D08D" w:themeColor="accent6" w:themeTint="99"/>
        </w:rPr>
        <w:t xml:space="preserve"> </w:t>
      </w:r>
    </w:p>
    <w:p w14:paraId="323EF7EB" w14:textId="47E5FF20" w:rsidR="00735DD1" w:rsidRDefault="00735DD1" w:rsidP="00331DA3">
      <w:pPr>
        <w:spacing w:line="360" w:lineRule="auto"/>
      </w:pPr>
      <w:r>
        <w:t>Similarly to neonates, PNC for mothers revolves around assessment for potential complications and referral for additional treatment. Within each PNC visit women should receive:</w:t>
      </w:r>
    </w:p>
    <w:p w14:paraId="5D79380E" w14:textId="73634079" w:rsidR="00735DD1" w:rsidRDefault="00735DD1" w:rsidP="00735DD1">
      <w:pPr>
        <w:pStyle w:val="ListParagraph"/>
        <w:numPr>
          <w:ilvl w:val="0"/>
          <w:numId w:val="29"/>
        </w:numPr>
        <w:spacing w:line="360" w:lineRule="auto"/>
      </w:pPr>
      <w:r>
        <w:t>Blood pressure measurement to assess for hypertension</w:t>
      </w:r>
    </w:p>
    <w:p w14:paraId="41AD5C77" w14:textId="72D79112" w:rsidR="00735DD1" w:rsidRDefault="00735DD1" w:rsidP="00735DD1">
      <w:pPr>
        <w:pStyle w:val="ListParagraph"/>
        <w:numPr>
          <w:ilvl w:val="0"/>
          <w:numId w:val="29"/>
        </w:numPr>
        <w:spacing w:line="360" w:lineRule="auto"/>
      </w:pPr>
      <w:r>
        <w:t>Urine dipstick to detect proteinuria</w:t>
      </w:r>
    </w:p>
    <w:p w14:paraId="52E562BD" w14:textId="56EFCAEF" w:rsidR="003135A4" w:rsidRDefault="003135A4" w:rsidP="00735DD1">
      <w:pPr>
        <w:pStyle w:val="ListParagraph"/>
        <w:numPr>
          <w:ilvl w:val="0"/>
          <w:numId w:val="29"/>
        </w:numPr>
        <w:spacing w:line="360" w:lineRule="auto"/>
      </w:pPr>
      <w:r>
        <w:t xml:space="preserve">Point of care test for anaemia </w:t>
      </w:r>
    </w:p>
    <w:p w14:paraId="304D5D9C" w14:textId="4FCD1EF3" w:rsidR="00735DD1" w:rsidRDefault="00233861" w:rsidP="00735DD1">
      <w:pPr>
        <w:pStyle w:val="ListParagraph"/>
        <w:numPr>
          <w:ilvl w:val="0"/>
          <w:numId w:val="29"/>
        </w:numPr>
        <w:spacing w:line="360" w:lineRule="auto"/>
      </w:pPr>
      <w:r>
        <w:t>Assessment</w:t>
      </w:r>
      <w:r w:rsidR="00735DD1">
        <w:t xml:space="preserve"> for maternal sepsis</w:t>
      </w:r>
    </w:p>
    <w:p w14:paraId="566DF40A" w14:textId="1228A558" w:rsidR="00735DD1" w:rsidRDefault="00735DD1" w:rsidP="00735DD1">
      <w:pPr>
        <w:pStyle w:val="ListParagraph"/>
        <w:numPr>
          <w:ilvl w:val="0"/>
          <w:numId w:val="29"/>
        </w:numPr>
        <w:spacing w:line="360" w:lineRule="auto"/>
      </w:pPr>
      <w:r>
        <w:t xml:space="preserve">Assessment for secondary PPH </w:t>
      </w:r>
    </w:p>
    <w:p w14:paraId="703A3B5C" w14:textId="25C49778" w:rsidR="00472BC7" w:rsidRPr="00472BC7" w:rsidRDefault="00735DD1" w:rsidP="00472BC7">
      <w:pPr>
        <w:spacing w:line="360" w:lineRule="auto"/>
      </w:pPr>
      <w:r>
        <w:t>If one or more complication</w:t>
      </w:r>
      <w:r w:rsidR="00AE69C4">
        <w:t>s</w:t>
      </w:r>
      <w:r>
        <w:t xml:space="preserve"> </w:t>
      </w:r>
      <w:r w:rsidR="00AE69C4">
        <w:t>are</w:t>
      </w:r>
      <w:r>
        <w:t xml:space="preserve"> detected then the mother is scheduled to receive additional treatment as an inpatient via the postnatal ward. </w:t>
      </w:r>
    </w:p>
    <w:p w14:paraId="3B093E5D" w14:textId="3A75F576" w:rsidR="002049C1" w:rsidRPr="00472BC7" w:rsidRDefault="002049C1" w:rsidP="002049C1">
      <w:pPr>
        <w:rPr>
          <w:b/>
          <w:bCs/>
          <w:color w:val="A8D08D" w:themeColor="accent6" w:themeTint="99"/>
        </w:rPr>
      </w:pPr>
      <w:r w:rsidRPr="00472BC7">
        <w:rPr>
          <w:b/>
          <w:bCs/>
          <w:color w:val="A8D08D" w:themeColor="accent6" w:themeTint="99"/>
        </w:rPr>
        <w:t xml:space="preserve">Inpatient PNC </w:t>
      </w:r>
    </w:p>
    <w:p w14:paraId="5C780B6E" w14:textId="244EC12B" w:rsidR="00223B76" w:rsidRDefault="00472BC7" w:rsidP="00472BC7">
      <w:pPr>
        <w:rPr>
          <w:b/>
          <w:bCs/>
          <w:i/>
          <w:color w:val="A8D08D" w:themeColor="accent6" w:themeTint="99"/>
        </w:rPr>
      </w:pPr>
      <w:r w:rsidRPr="00472BC7">
        <w:rPr>
          <w:b/>
          <w:bCs/>
          <w:i/>
          <w:color w:val="A8D08D" w:themeColor="accent6" w:themeTint="99"/>
        </w:rPr>
        <w:t>Postnatal ward</w:t>
      </w:r>
    </w:p>
    <w:p w14:paraId="76288CBE" w14:textId="388605E6" w:rsidR="003135A4" w:rsidRDefault="003135A4" w:rsidP="003135A4">
      <w:pPr>
        <w:spacing w:line="360" w:lineRule="auto"/>
      </w:pPr>
      <w:r w:rsidRPr="003135A4">
        <w:t>Women in the model are admitted</w:t>
      </w:r>
      <w:r w:rsidR="000B1E5B">
        <w:t xml:space="preserve"> for inpatient care</w:t>
      </w:r>
      <w:r w:rsidRPr="003135A4">
        <w:t xml:space="preserve"> </w:t>
      </w:r>
      <w:r>
        <w:t>if</w:t>
      </w:r>
      <w:r w:rsidRPr="003135A4">
        <w:t xml:space="preserve"> assessment </w:t>
      </w:r>
      <w:r>
        <w:t>during</w:t>
      </w:r>
      <w:r w:rsidRPr="003135A4">
        <w:t xml:space="preserve"> </w:t>
      </w:r>
      <w:r>
        <w:t>PNC</w:t>
      </w:r>
      <w:r w:rsidRPr="003135A4">
        <w:t xml:space="preserve"> </w:t>
      </w:r>
      <w:r>
        <w:t>has led to</w:t>
      </w:r>
      <w:r w:rsidRPr="003135A4">
        <w:t xml:space="preserve"> the detection of</w:t>
      </w:r>
      <w:r w:rsidR="000B1E5B">
        <w:t xml:space="preserve"> a</w:t>
      </w:r>
      <w:r w:rsidRPr="003135A4">
        <w:t xml:space="preserve"> hypertensive </w:t>
      </w:r>
      <w:r w:rsidR="000B1E5B">
        <w:t>disorder</w:t>
      </w:r>
      <w:r w:rsidRPr="003135A4">
        <w:t>, anaemia</w:t>
      </w:r>
      <w:r w:rsidR="00BC0C36">
        <w:t xml:space="preserve"> (any severity)</w:t>
      </w:r>
      <w:r w:rsidRPr="003135A4">
        <w:t>, sepsis or s</w:t>
      </w:r>
      <w:r>
        <w:t xml:space="preserve">econdary postpartum haemorrhage. As with care delivered on the antenatal ward </w:t>
      </w:r>
      <w:r w:rsidR="00BC0C36">
        <w:t>clinical management of these conditions is modelled to match treatment protocols outline</w:t>
      </w:r>
      <w:r w:rsidR="00725C25">
        <w:t>d</w:t>
      </w:r>
      <w:r w:rsidR="00BC0C36">
        <w:t xml:space="preserve"> in the Malawian Obstetr</w:t>
      </w:r>
      <w:r w:rsidR="003A338E">
        <w:t xml:space="preserve">ics and Gynaecology Guidelines </w:t>
      </w:r>
      <w:r w:rsidR="003A338E">
        <w:fldChar w:fldCharType="begin" w:fldLock="1"/>
      </w:r>
      <w:r w:rsidR="00AD087D">
        <w:instrText>ADDIN CSL_CITATION {"citationItems":[{"id":"ITEM-1","itemData":{"author":[{"dropping-particle":"","family":"The Association of Obstetricians &amp; Gynaecologists of Malawi","given":"","non-dropping-particle":"","parse-names":false,"suffix":""}],"id":"ITEM-1","issue":"September","issued":{"date-parts":[["2014"]]},"page":"1-105","title":"Obstetrics &amp; Gynaecology Protocols and Guidelines","type":"article-journal"},"uris":["http://www.mendeley.com/documents/?uuid=4c3afc00-c2fe-4018-b8ea-57886e893a57"]}],"mendeley":{"formattedCitation":"(The Association of Obstetricians &amp; Gynaecologists of Malawi, 2014)","plainTextFormattedCitation":"(The Association of Obstetricians &amp; Gynaecologists of Malawi, 2014)","previouslyFormattedCitation":"(The Association of Obstetricians &amp; Gynaecologists of Malawi, 2014)"},"properties":{"noteIndex":0},"schema":"https://github.com/citation-style-language/schema/raw/master/csl-citation.json"}</w:instrText>
      </w:r>
      <w:r w:rsidR="003A338E">
        <w:fldChar w:fldCharType="separate"/>
      </w:r>
      <w:r w:rsidR="003A338E" w:rsidRPr="003A338E">
        <w:rPr>
          <w:noProof/>
        </w:rPr>
        <w:t>(The Association of Obstetricians &amp; Gynaecologists of Malawi, 2014)</w:t>
      </w:r>
      <w:r w:rsidR="003A338E">
        <w:fldChar w:fldCharType="end"/>
      </w:r>
      <w:r w:rsidR="00BC0C36">
        <w:t xml:space="preserve"> and Standard Treatment Guidelines ().</w:t>
      </w:r>
    </w:p>
    <w:p w14:paraId="4948CF83" w14:textId="01842689" w:rsidR="003135A4" w:rsidRDefault="00D7383B" w:rsidP="003135A4">
      <w:pPr>
        <w:spacing w:line="360" w:lineRule="auto"/>
        <w:rPr>
          <w:b/>
        </w:rPr>
      </w:pPr>
      <w:r w:rsidRPr="00D7383B">
        <w:rPr>
          <w:b/>
        </w:rPr>
        <w:t>Treatment for maternal sepsis</w:t>
      </w:r>
    </w:p>
    <w:p w14:paraId="45C6FB9C" w14:textId="2BACCD5B" w:rsidR="00A6525F" w:rsidRPr="008F741A" w:rsidRDefault="00A6525F" w:rsidP="003135A4">
      <w:pPr>
        <w:spacing w:line="360" w:lineRule="auto"/>
      </w:pPr>
      <w:r>
        <w:lastRenderedPageBreak/>
        <w:t xml:space="preserve">As with the management of maternal sepsis during labour, antibiotic therapy is the primary treatment intervention for maternal sepsis included in the model. </w:t>
      </w:r>
      <w:r w:rsidR="008F741A">
        <w:t xml:space="preserve">We apply the same treatment effect and therefore </w:t>
      </w:r>
      <w:r>
        <w:t xml:space="preserve">assume women who receive treatment for sepsis have a reduced risk of sepsis-death (RR 0.2 </w:t>
      </w:r>
      <w:r>
        <w:fldChar w:fldCharType="begin" w:fldLock="1"/>
      </w:r>
      <w:r w:rsidR="00887441">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2013a)","plainTextFormattedCitation":"(Pollard, Mathai and Walker, 2013a)","previouslyFormattedCitation":"(Pollard, Mathai and Walker, 2013a)"},"properties":{"noteIndex":0},"schema":"https://github.com/citation-style-language/schema/raw/master/csl-citation.json"}</w:instrText>
      </w:r>
      <w:r>
        <w:fldChar w:fldCharType="separate"/>
      </w:r>
      <w:r w:rsidR="00887441" w:rsidRPr="00887441">
        <w:rPr>
          <w:noProof/>
        </w:rPr>
        <w:t>(Pollard, Mathai and Walker, 2013a)</w:t>
      </w:r>
      <w:r>
        <w:fldChar w:fldCharType="end"/>
      </w:r>
      <w:r>
        <w:t xml:space="preserve">). </w:t>
      </w:r>
      <w:r w:rsidR="00A925E8">
        <w:t xml:space="preserve"> Please see labour documentation for further details. </w:t>
      </w:r>
    </w:p>
    <w:p w14:paraId="5F3D86F1" w14:textId="70D3EA25" w:rsidR="00D7383B" w:rsidRDefault="00D7383B" w:rsidP="003135A4">
      <w:pPr>
        <w:spacing w:line="360" w:lineRule="auto"/>
        <w:rPr>
          <w:b/>
        </w:rPr>
      </w:pPr>
      <w:r w:rsidRPr="00D7383B">
        <w:rPr>
          <w:b/>
        </w:rPr>
        <w:t>Treatment for hypertensive disorders</w:t>
      </w:r>
    </w:p>
    <w:p w14:paraId="0CCA761F" w14:textId="3B77B603" w:rsidR="00A925E8" w:rsidRPr="00D7383B" w:rsidRDefault="00A925E8" w:rsidP="003135A4">
      <w:pPr>
        <w:spacing w:line="360" w:lineRule="auto"/>
        <w:rPr>
          <w:b/>
        </w:rPr>
      </w:pPr>
      <w:r w:rsidRPr="00F33749">
        <w:t>Inpatient treatment of hypertension varies according to severity and underlying hypertensive disorder.</w:t>
      </w:r>
      <w:r>
        <w:rPr>
          <w:b/>
        </w:rPr>
        <w:t xml:space="preserve"> </w:t>
      </w:r>
      <w:r w:rsidRPr="00941A64">
        <w:t>Women with more mild hypertension (mild gestational hypertension/mild pre-eclampsia) are simply initiated on regular oral antihypertensive</w:t>
      </w:r>
      <w:r>
        <w:t>s</w:t>
      </w:r>
      <w:r w:rsidRPr="00941A64">
        <w:t xml:space="preserve"> and</w:t>
      </w:r>
      <w:r w:rsidR="00F33749">
        <w:t xml:space="preserve"> discharged- we assume that oral antihypertensives </w:t>
      </w:r>
      <w:r w:rsidR="000A1504">
        <w:t xml:space="preserve">administered </w:t>
      </w:r>
      <w:r w:rsidR="00F33749">
        <w:t xml:space="preserve">postnatally work similar to the antenatal period in that they reduce </w:t>
      </w:r>
      <w:r>
        <w:t xml:space="preserve"> </w:t>
      </w:r>
      <w:r w:rsidR="00F33749">
        <w:t xml:space="preserve">a woman’s </w:t>
      </w:r>
      <w:r>
        <w:t xml:space="preserve">risk of developing severe gestational hypertension (RR 0.49 </w:t>
      </w:r>
      <w:r>
        <w:fldChar w:fldCharType="begin" w:fldLock="1"/>
      </w:r>
      <w:r w:rsidR="00AD087D">
        <w:instrText>ADDIN CSL_CITATION {"citationItems":[{"id":"ITEM-1","itemData":{"DOI":"10.1002/14651858.CD002252.pub4","ISSN":"1469493X","abstract":"Background: Antihypertensive drugs are often used in the belief that lowering blood pressure will prevent progression to more severe disease, and thereby improve pregnancy outcome. This Cochrane Review is an updated review, first published in 2001 and subsequently updated in 2007 and 2014. Objectives: To assess the effects of antihypertensive drug treatments for women with mild to moderate hypertension during pregnancy. Search methods: We searched Cochrane Pregnancy and Childbirth's Trials Register, ClinicalTrials.gov, the WHO International Clinical Trials Registry Platform (ICTRP) (13 September 2017), and reference lists of retrieved studies. Selection criteria: All randomised trials evaluating any antihypertensive drug treatment for mild to moderate hypertension during pregnancy, defined as systolic blood pressure 140 to 169 mmHg and/or diastolic blood pressure 90 to 109 mmHg. Comparisons were of one or more antihypertensive drug(s) with placebo, with no antihypertensive drug, or with another antihypertensive drug, and where treatment was planned to continue for at least seven days. Data collection and analysis: Two review authors independently assessed trials for inclusion and risk of bias, extracted data and checked them for accuracy. Main results: For this update, we included 63 trials (data from 58 trials, 5909 women), with moderate to high risk of bias overall. We carried out GRADE assessments for the main 'antihypertensive drug versus placebo/no antihypertensive drug' comparison only. Evidence was graded from very low to moderate certainty, with downgrading mainly due to design limitations and imprecision.For many outcomes, trials contributing data evaluated different hypertensive drugs; while we did not downgrade for this indirectness, results should be interpreted with caution. Antihypertensive drug versus placebo/no antihypertensive drug (31 trials, 3485 women) Primary outcomes: moderate-certainty evidence suggests that use of antihypertensive drug(s) probably halves the risk of developing severe hypertension (risk ratio (RR) 0.49; 95% confidence interval (CI) 0.40 to 0.60; 20 trials, 2558 women), but may have little or no effect on the risk of proteinuria/pre-eclampsia (average risk ratio (aRR) 0.92; 95% CI 0.75 to 1.14; 23 trials, 2851 women; low-certainty evidence). Moderate-certainty evidence also shows that antihypertensive drug(s) probably have little or no effect in the risk of total reported fetal or neonatal death (including miscarri…","author":[{"dropping-particle":"","family":"Abalos","given":"Edgardo","non-dropping-particle":"","parse-names":false,"suffix":""},{"dropping-particle":"","family":"Duley","given":"Lelia","non-dropping-particle":"","parse-names":false,"suffix":""},{"dropping-particle":"","family":"Steyn","given":"D. Wilhelm","non-dropping-particle":"","parse-names":false,"suffix":""},{"dropping-particle":"","family":"Gialdini","given":"Celina","non-dropping-particle":"","parse-names":false,"suffix":""}],"container-title":"Cochrane Database of Systematic Reviews","id":"ITEM-1","issue":"10","issued":{"date-parts":[["2018","10","1"]]},"publisher":"John Wiley and Sons Ltd","title":"Antihypertensive drug therapy for mild to moderate hypertension during pregnancy","type":"article","volume":"2018"},"uris":["http://www.mendeley.com/documents/?uuid=f4b65c88-c6f4-3f19-b810-b2cda37bd588"]}],"mendeley":{"formattedCitation":"(Abalos &lt;i&gt;et al.&lt;/i&gt;, 2018a)","plainTextFormattedCitation":"(Abalos et al., 2018a)","previouslyFormattedCitation":"(Abalos &lt;i&gt;et al.&lt;/i&gt;, 2018a)"},"properties":{"noteIndex":0},"schema":"https://github.com/citation-style-language/schema/raw/master/csl-citation.json"}</w:instrText>
      </w:r>
      <w:r>
        <w:fldChar w:fldCharType="separate"/>
      </w:r>
      <w:r w:rsidR="00AD087D" w:rsidRPr="00AD087D">
        <w:rPr>
          <w:noProof/>
        </w:rPr>
        <w:t xml:space="preserve">(Abalos </w:t>
      </w:r>
      <w:r w:rsidR="00AD087D" w:rsidRPr="00AD087D">
        <w:rPr>
          <w:i/>
          <w:noProof/>
        </w:rPr>
        <w:t>et al.</w:t>
      </w:r>
      <w:r w:rsidR="00AD087D" w:rsidRPr="00AD087D">
        <w:rPr>
          <w:noProof/>
        </w:rPr>
        <w:t>, 2018a)</w:t>
      </w:r>
      <w:r>
        <w:fldChar w:fldCharType="end"/>
      </w:r>
      <w:r>
        <w:t>) but no other significant effects on maternal or perinatal outcomes.</w:t>
      </w:r>
    </w:p>
    <w:p w14:paraId="6BF4F677" w14:textId="765B0D80" w:rsidR="00F33749" w:rsidRDefault="000A1504" w:rsidP="003135A4">
      <w:pPr>
        <w:spacing w:line="360" w:lineRule="auto"/>
      </w:pPr>
      <w:r w:rsidRPr="000A1504">
        <w:t xml:space="preserve">Severe hypertension (severe gestational hypertension, severe pre-eclampsia and eclampsia) is treated with intravenous antihypertensives which reduces risk of death in severe pre-eclamsia and eclampsia </w:t>
      </w:r>
      <w:r>
        <w:t xml:space="preserve">(RR 0.5 </w:t>
      </w:r>
      <w:r>
        <w:fldChar w:fldCharType="begin" w:fldLock="1"/>
      </w:r>
      <w:r w:rsidR="00887441">
        <w:instrText>ADDIN CSL_CITATION {"citationItems":[{"id":"ITEM-1","itemData":{"DOI":"10.1186/1471-2458-13-S3-S12","ISSN":"14712458","abstract":"Background: Approximately 287,000 women die of causes related to pregnancy and childbirth every year. While effective interventions exist to prevent maternal death, high quality impact evaluations for these interventions are often lacking. Methods. We conducted a Delphi process consisting of three rounds in which we asked maternal health experts to provide effectiveness estimates for 31 intervention-cause of death pairs relating to maternal mortality. Anonymous feedback in the form of medians and histograms for each question was given to experts following the first and second rounds. A diverse panel of 37 experts completed all three rounds, for a final response rate 80.4%. Results: This Delphi process produced a total of 31 effectiveness estimates for key maternal interventions on cause-specific maternal mortality. Overall, many interventions had high estimated effectiveness, with the majority of interventions having effectiveness estimates above 70%. Where possible, the estimates of effectiveness of interventions were compared to previous efforts and in general there was strong agreement between the estimates in this exercise as compared to those of earlier efforts. Conclusions: There are many maternal health interventions with high estimated effectiveness that, with expansion of effective delivery channels, have the potential to have a large impact on reducing maternal mortality worldwide. © 2013Pollard et al; licensee BioMed Central Ltd.","author":[{"dropping-particle":"","family":"Pollard","given":"Suzanne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Health","id":"ITEM-1","issue":"SUPPL.3","issued":{"date-parts":[["2013"]]},"page":"S12","publisher":"BioMed Central","title":"Estimating the impact of interventions on cause-specific maternal mortality: A Delphi approach","type":"article","volume":"13"},"uris":["http://www.mendeley.com/documents/?uuid=cd1cd3b2-102c-3ff6-b8c0-cdbb21d3ed75"]}],"mendeley":{"formattedCitation":"(Pollard, Mathai and Walker, 2013b)","plainTextFormattedCitation":"(Pollard, Mathai and Walker, 2013b)","previouslyFormattedCitation":"(Pollard, Mathai and Walker, 2013b)"},"properties":{"noteIndex":0},"schema":"https://github.com/citation-style-language/schema/raw/master/csl-citation.json"}</w:instrText>
      </w:r>
      <w:r>
        <w:fldChar w:fldCharType="separate"/>
      </w:r>
      <w:r w:rsidR="00887441" w:rsidRPr="00887441">
        <w:rPr>
          <w:noProof/>
        </w:rPr>
        <w:t>(Pollard, Mathai and Walker, 2013b)</w:t>
      </w:r>
      <w:r>
        <w:fldChar w:fldCharType="end"/>
      </w:r>
      <w:r>
        <w:t xml:space="preserve">) </w:t>
      </w:r>
      <w:r w:rsidRPr="000A1504">
        <w:t xml:space="preserve">or reverts severe gestational hypertension to the milder state, reducing monthly risk of death. </w:t>
      </w:r>
    </w:p>
    <w:p w14:paraId="7FDFA259" w14:textId="3A70ACEB" w:rsidR="00741FB3" w:rsidRPr="00741FB3" w:rsidRDefault="000A1504" w:rsidP="003135A4">
      <w:pPr>
        <w:spacing w:line="360" w:lineRule="auto"/>
      </w:pPr>
      <w:r w:rsidRPr="00741FB3">
        <w:rPr>
          <w:highlight w:val="yellow"/>
        </w:rPr>
        <w:t xml:space="preserve">Severe pre-eclampsia and eclampsia are also treated with magnesium </w:t>
      </w:r>
      <w:r w:rsidR="00022B4D" w:rsidRPr="00741FB3">
        <w:rPr>
          <w:highlight w:val="yellow"/>
        </w:rPr>
        <w:t>sulphate</w:t>
      </w:r>
      <w:r w:rsidRPr="00741FB3">
        <w:rPr>
          <w:highlight w:val="yellow"/>
        </w:rPr>
        <w:t xml:space="preserve"> which reduces risk of death from eclampsia (RR 0.5 </w:t>
      </w:r>
      <w:r w:rsidRPr="00741FB3">
        <w:rPr>
          <w:highlight w:val="yellow"/>
        </w:rPr>
        <w:fldChar w:fldCharType="begin" w:fldLock="1"/>
      </w:r>
      <w:r w:rsidR="00887441">
        <w:rPr>
          <w:highlight w:val="yellow"/>
        </w:rPr>
        <w:instrText>ADDIN CSL_CITATION {"citationItems":[{"id":"ITEM-1","itemData":{"DOI":"10.1186/1471-2458-13-S3-S12","ISSN":"14712458","abstract":"Background: Approximately 287,000 women die of causes related to pregnancy and childbirth every year. While effective interventions exist to prevent maternal death, high quality impact evaluations for these interventions are often lacking. Methods. We conducted a Delphi process consisting of three rounds in which we asked maternal health experts to provide effectiveness estimates for 31 intervention-cause of death pairs relating to maternal mortality. Anonymous feedback in the form of medians and histograms for each question was given to experts following the first and second rounds. A diverse panel of 37 experts completed all three rounds, for a final response rate 80.4%. Results: This Delphi process produced a total of 31 effectiveness estimates for key maternal interventions on cause-specific maternal mortality. Overall, many interventions had high estimated effectiveness, with the majority of interventions having effectiveness estimates above 70%. Where possible, the estimates of effectiveness of interventions were compared to previous efforts and in general there was strong agreement between the estimates in this exercise as compared to those of earlier efforts. Conclusions: There are many maternal health interventions with high estimated effectiveness that, with expansion of effective delivery channels, have the potential to have a large impact on reducing maternal mortality worldwide. © 2013Pollard et al; licensee BioMed Central Ltd.","author":[{"dropping-particle":"","family":"Pollard","given":"Suzanne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Health","id":"ITEM-1","issue":"SUPPL.3","issued":{"date-parts":[["2013"]]},"page":"S12","publisher":"BioMed Central","title":"Estimating the impact of interventions on cause-specific maternal mortality: A Delphi approach","type":"article","volume":"13"},"uris":["http://www.mendeley.com/documents/?uuid=cd1cd3b2-102c-3ff6-b8c0-cdbb21d3ed75"]}],"mendeley":{"formattedCitation":"(Pollard, Mathai and Walker, 2013b)","plainTextFormattedCitation":"(Pollard, Mathai and Walker, 2013b)","previouslyFormattedCitation":"(Pollard, Mathai and Walker, 2013b)"},"properties":{"noteIndex":0},"schema":"https://github.com/citation-style-language/schema/raw/master/csl-citation.json"}</w:instrText>
      </w:r>
      <w:r w:rsidRPr="00741FB3">
        <w:rPr>
          <w:highlight w:val="yellow"/>
        </w:rPr>
        <w:fldChar w:fldCharType="separate"/>
      </w:r>
      <w:r w:rsidR="00887441" w:rsidRPr="00887441">
        <w:rPr>
          <w:noProof/>
          <w:highlight w:val="yellow"/>
        </w:rPr>
        <w:t>(Pollard, Mathai and Walker, 2013b)</w:t>
      </w:r>
      <w:r w:rsidRPr="00741FB3">
        <w:rPr>
          <w:highlight w:val="yellow"/>
        </w:rPr>
        <w:fldChar w:fldCharType="end"/>
      </w:r>
      <w:r>
        <w:t xml:space="preserve"> </w:t>
      </w:r>
      <w:r w:rsidR="001334E9">
        <w:t>and reduces the lik</w:t>
      </w:r>
      <w:r w:rsidR="00022B4D">
        <w:t>el</w:t>
      </w:r>
      <w:r w:rsidR="001334E9">
        <w:t xml:space="preserve">ihood that a woman with severe pre-eclampsia will develop eclampsia </w:t>
      </w:r>
      <w:r w:rsidR="002F255F">
        <w:t xml:space="preserve">(RR 0.41 </w:t>
      </w:r>
      <w:r w:rsidR="002F255F">
        <w:fldChar w:fldCharType="begin" w:fldLock="1"/>
      </w:r>
      <w:r w:rsidR="002F255F">
        <w:instrText>ADDIN CSL_CITATION {"citationItems":[{"id":"ITEM-1","itemData":{"DOI":"10.1002/14651858.CD000025.pub2","ISSN":"14651858","author":[{"dropping-particle":"","family":"Duley","given":"Lelia","non-dropping-particle":"","parse-names":false,"suffix":""},{"dropping-particle":"","family":"Gülmezoglu","given":"A Metin","non-dropping-particle":"","parse-names":false,"suffix":""},{"dropping-particle":"","family":"Henderson-Smart","given":"David J","non-dropping-particle":"","parse-names":false,"suffix":""},{"dropping-particle":"","family":"Chou","given":"Doris","non-dropping-particle":"","parse-names":false,"suffix":""}],"container-title":"Cochrane Database of Systematic Reviews","id":"ITEM-1","issue":"11","issued":{"date-parts":[["2010","11","10"]]},"note":"n.b. this review considers mgso4 for women with PREECLAMPSIA and how they are prevented from having eclampsia NOT as a treatment for eclampsia","publisher":"John Wiley &amp; Sons, Ltd","title":"Magnesium sulphate and other anticonvulsants for women with pre-eclampsia","type":"article-journal"},"uris":["http://www.mendeley.com/documents/?uuid=3dbe7c70-c64d-4fb3-aea3-6a3567edca93"]}],"mendeley":{"formattedCitation":"(Duley &lt;i&gt;et al.&lt;/i&gt;, 2010)","plainTextFormattedCitation":"(Duley et al., 2010)","previouslyFormattedCitation":"(Duley &lt;i&gt;et al.&lt;/i&gt;, 2010)"},"properties":{"noteIndex":0},"schema":"https://github.com/citation-style-language/schema/raw/master/csl-citation.json"}</w:instrText>
      </w:r>
      <w:r w:rsidR="002F255F">
        <w:fldChar w:fldCharType="separate"/>
      </w:r>
      <w:r w:rsidR="002F255F" w:rsidRPr="00065FE0">
        <w:rPr>
          <w:noProof/>
        </w:rPr>
        <w:t xml:space="preserve">(Duley </w:t>
      </w:r>
      <w:r w:rsidR="002F255F" w:rsidRPr="00065FE0">
        <w:rPr>
          <w:i/>
          <w:noProof/>
        </w:rPr>
        <w:t>et al.</w:t>
      </w:r>
      <w:r w:rsidR="002F255F" w:rsidRPr="00065FE0">
        <w:rPr>
          <w:noProof/>
        </w:rPr>
        <w:t>, 2010)</w:t>
      </w:r>
      <w:r w:rsidR="002F255F">
        <w:fldChar w:fldCharType="end"/>
      </w:r>
      <w:r w:rsidR="002F255F">
        <w:t xml:space="preserve">). </w:t>
      </w:r>
    </w:p>
    <w:p w14:paraId="1734D1FF" w14:textId="35FF15BF" w:rsidR="00D7383B" w:rsidRDefault="00D7383B" w:rsidP="003135A4">
      <w:pPr>
        <w:spacing w:line="360" w:lineRule="auto"/>
        <w:rPr>
          <w:b/>
        </w:rPr>
      </w:pPr>
      <w:r w:rsidRPr="00D7383B">
        <w:rPr>
          <w:b/>
        </w:rPr>
        <w:t>Treatment for secondary PPH</w:t>
      </w:r>
    </w:p>
    <w:p w14:paraId="332B2AD4" w14:textId="561F396E" w:rsidR="00FA2D29" w:rsidRPr="00D7383B" w:rsidRDefault="00701249" w:rsidP="003135A4">
      <w:pPr>
        <w:spacing w:line="360" w:lineRule="auto"/>
        <w:rPr>
          <w:b/>
        </w:rPr>
      </w:pPr>
      <w:r>
        <w:rPr>
          <w:b/>
        </w:rPr>
        <w:t>TBD.</w:t>
      </w:r>
    </w:p>
    <w:p w14:paraId="3DA0FEDC" w14:textId="77777777" w:rsidR="00701249" w:rsidRDefault="00D7383B" w:rsidP="00FA2D29">
      <w:pPr>
        <w:spacing w:line="360" w:lineRule="auto"/>
        <w:rPr>
          <w:b/>
        </w:rPr>
      </w:pPr>
      <w:r w:rsidRPr="00D7383B">
        <w:rPr>
          <w:b/>
        </w:rPr>
        <w:t xml:space="preserve">Treatment for anaemia </w:t>
      </w:r>
    </w:p>
    <w:p w14:paraId="5D5CCCB6" w14:textId="7B37FC3F" w:rsidR="00741FB3" w:rsidRPr="00701249" w:rsidRDefault="00701249" w:rsidP="00FA2D29">
      <w:pPr>
        <w:spacing w:line="360" w:lineRule="auto"/>
        <w:rPr>
          <w:b/>
        </w:rPr>
      </w:pPr>
      <w:r>
        <w:rPr>
          <w:b/>
        </w:rPr>
        <w:t>TBD</w:t>
      </w:r>
      <w:r w:rsidR="00741FB3">
        <w:t xml:space="preserve">. Not modelled. </w:t>
      </w:r>
    </w:p>
    <w:p w14:paraId="6EDC5555" w14:textId="0DFDD18D" w:rsidR="00472BC7" w:rsidRPr="00472BC7" w:rsidRDefault="00472BC7" w:rsidP="00472BC7">
      <w:pPr>
        <w:rPr>
          <w:b/>
          <w:bCs/>
          <w:i/>
          <w:color w:val="A8D08D" w:themeColor="accent6" w:themeTint="99"/>
        </w:rPr>
      </w:pPr>
      <w:r w:rsidRPr="00472BC7">
        <w:rPr>
          <w:b/>
          <w:bCs/>
          <w:i/>
          <w:color w:val="A8D08D" w:themeColor="accent6" w:themeTint="99"/>
        </w:rPr>
        <w:t xml:space="preserve">Neonatal ward </w:t>
      </w:r>
    </w:p>
    <w:p w14:paraId="5EA87D1D" w14:textId="57CE366C" w:rsidR="00FA2D29" w:rsidRPr="00FA2D29" w:rsidRDefault="00FA2D29" w:rsidP="00FA2D29">
      <w:pPr>
        <w:spacing w:line="360" w:lineRule="auto"/>
      </w:pPr>
      <w:r w:rsidRPr="00FA2D29">
        <w:t xml:space="preserve">Neonates admitted to the neonatal ward due to sepsis will receive full supportive case management of sepsis (see newborn module methods document for description). Risk of death associated with sepsis is reduced by 80% (treatment effect 0.2  </w:t>
      </w:r>
      <w:r>
        <w:fldChar w:fldCharType="begin" w:fldLock="1"/>
      </w:r>
      <w:r>
        <w:instrText>ADDIN CSL_CITATION {"citationItems":[{"id":"ITEM-1","itemData":{"DOI":"10.1186/1471-2458-11-S3-S13","ISSN":"14712458","PMID":"21501430","abstract":"Background: Each year almost one million newborns die from infections, mostly in low-income countries. Timely case management would save many lives but the relative mortality effect of varying strategies is unknown. We have estimated the effect of providing oral, or injectable antibiotics at home or in first-level facilities, and of in-patient hospital care on neonatal mortality from pneumonia and sepsis for use in the Lives Saved Tool (LiST). Methods. We conducted systematic searches of multiple databases to identify relevant studies with mortality data. Standardized abstraction tables were used and study quality assessed by adapted GRADE criteria. Meta-analyses were undertaken where appropriate. For interventions with biological plausibility but low quality evidence, a Delphi process was undertaken to estimate effectiveness. Results: Searches of 2876 titles identified 7 studies. Among these, 4 evaluated oral antibiotics for neonatal pneumonia in non-randomised, concurrently controlled designs. Meta-analysis suggested reductions in all-cause neonatal mortality (RR 0.75 95% CI 0.64- 0.89; 4 studies) and neonatal pneumonia-specific mortality (RR 0.58 95% CI 0.41- 0.82; 3 studies). Two studies (1 RCT, 1 observational study), evaluated community-based neonatal care packages including injectable antibiotics and reported mortality reductions of 44% (RR= 0.56, 95% CI 0.41-0.77) and 34% (RR =0.66, 95% CI 0.47-0.93), but the interpretation of these results is complicated by co-interventions. A third, clinic-based, study reported a case-fatality ratio of 3.3% among neonates treated with injectable antibiotics as outpatients. No studies were identified evaluating injectable antibiotics alone for neonatal pneumonia. Delphi consensus (median from 20 respondents) effects on sepsis-specific mortality were 30% reduction for oral antibiotics, 65% for injectable antibiotics and 75% for injectable antibiotics on pneumonia-specific mortality. No trials were identified assessing effect of hospital management for neonatal infections and Delphi consensus suggested 80%, and 90% reductions for sepsis and pneumonia-specific mortality respectively. Conclusion: Oral antibiotics administered in the community are effective for neonatal pneumonia mortality reduction based on a meta-analysis, but expert opinion suggests much higher impact from injectable antibiotics in the community or primary care level and even higher for facility-based care. Despite feasibility and low cost, these…","author":[{"dropping-particle":"","family":"Zaidi","given":"Anita K.M.","non-dropping-particle":"","parse-names":false,"suffix":""},{"dropping-particle":"","family":"Ganatra","given":"Hammad A.","non-dropping-particle":"","parse-names":false,"suffix":""},{"dropping-particle":"","family":"Syed","given":"Sana","non-dropping-particle":"","parse-names":false,"suffix":""},{"dropping-particle":"","family":"Cousens","given":"Simon","non-dropping-particle":"","parse-names":false,"suffix":""},{"dropping-particle":"","family":"Lee","given":"Anne Cc","non-dropping-particle":"","parse-names":false,"suffix":""},{"dropping-particle":"","family":"Black","given":"Robert","non-dropping-particle":"","parse-names":false,"suffix":""},{"dropping-particle":"","family":"Bhutta","given":"Zulfiqar A.","non-dropping-particle":"","parse-names":false,"suffix":""},{"dropping-particle":"","family":"Lawn","given":"Joy E.","non-dropping-particle":"","parse-names":false,"suffix":""}],"container-title":"BMC Public Health","id":"ITEM-1","issue":"SUPPL. 3","issued":{"date-parts":[["2011","4","13"]]},"page":"S13","publisher":"BioMed Central","title":"Effect of case management on neonatal mortality due to sepsis and pneumonia","type":"article","volume":"11"},"uris":["http://www.mendeley.com/documents/?uuid=3b6895cb-e0fc-3f0c-b77b-bac81d0044c2"]}],"mendeley":{"formattedCitation":"(Zaidi &lt;i&gt;et al.&lt;/i&gt;, 2011)","plainTextFormattedCitation":"(Zaidi et al., 2011)","previouslyFormattedCitation":"(Zaidi &lt;i&gt;et al.&lt;/i&gt;, 2011)"},"properties":{"noteIndex":0},"schema":"https://github.com/citation-style-language/schema/raw/master/csl-citation.json"}</w:instrText>
      </w:r>
      <w:r>
        <w:fldChar w:fldCharType="separate"/>
      </w:r>
      <w:r w:rsidRPr="00D77426">
        <w:rPr>
          <w:noProof/>
        </w:rPr>
        <w:t xml:space="preserve">(Zaidi </w:t>
      </w:r>
      <w:r w:rsidRPr="00FA2D29">
        <w:rPr>
          <w:noProof/>
        </w:rPr>
        <w:t>et al.</w:t>
      </w:r>
      <w:r w:rsidRPr="00D77426">
        <w:rPr>
          <w:noProof/>
        </w:rPr>
        <w:t>, 2011)</w:t>
      </w:r>
      <w:r>
        <w:fldChar w:fldCharType="end"/>
      </w:r>
      <w:r>
        <w:t>)</w:t>
      </w:r>
    </w:p>
    <w:p w14:paraId="79A547F2" w14:textId="77777777" w:rsidR="00AE69C4" w:rsidRDefault="00AE69C4" w:rsidP="009D7608">
      <w:pPr>
        <w:spacing w:line="360" w:lineRule="auto"/>
        <w:rPr>
          <w:b/>
          <w:bCs/>
          <w:color w:val="767171" w:themeColor="background2" w:themeShade="80"/>
        </w:rPr>
      </w:pPr>
    </w:p>
    <w:p w14:paraId="4C646467" w14:textId="77777777" w:rsidR="00AE69C4" w:rsidRDefault="00AE69C4" w:rsidP="009D7608">
      <w:pPr>
        <w:spacing w:line="360" w:lineRule="auto"/>
        <w:rPr>
          <w:b/>
          <w:bCs/>
          <w:color w:val="767171" w:themeColor="background2" w:themeShade="80"/>
        </w:rPr>
      </w:pPr>
    </w:p>
    <w:p w14:paraId="5B5E2435" w14:textId="77777777" w:rsidR="00AE69C4" w:rsidRDefault="00AE69C4" w:rsidP="009D7608">
      <w:pPr>
        <w:spacing w:line="360" w:lineRule="auto"/>
        <w:rPr>
          <w:b/>
          <w:bCs/>
          <w:color w:val="767171" w:themeColor="background2" w:themeShade="80"/>
        </w:rPr>
      </w:pPr>
    </w:p>
    <w:p w14:paraId="7C7B33E8" w14:textId="426C9A09" w:rsidR="00FA2D29" w:rsidRPr="009D7608" w:rsidRDefault="009D7608" w:rsidP="009D7608">
      <w:pPr>
        <w:spacing w:line="360" w:lineRule="auto"/>
        <w:rPr>
          <w:b/>
          <w:bCs/>
          <w:color w:val="767171" w:themeColor="background2" w:themeShade="80"/>
        </w:rPr>
      </w:pPr>
      <w:r>
        <w:rPr>
          <w:b/>
          <w:bCs/>
          <w:color w:val="767171" w:themeColor="background2" w:themeShade="80"/>
        </w:rPr>
        <w:lastRenderedPageBreak/>
        <w:t>Table 5</w:t>
      </w:r>
      <w:r w:rsidRPr="004D2137">
        <w:rPr>
          <w:b/>
          <w:bCs/>
          <w:color w:val="767171" w:themeColor="background2" w:themeShade="80"/>
        </w:rPr>
        <w:t xml:space="preserve">.  Description of </w:t>
      </w:r>
      <w:r>
        <w:rPr>
          <w:b/>
          <w:bCs/>
          <w:color w:val="767171" w:themeColor="background2" w:themeShade="80"/>
        </w:rPr>
        <w:t xml:space="preserve">treatment </w:t>
      </w:r>
      <w:r w:rsidRPr="004D2137">
        <w:rPr>
          <w:b/>
          <w:bCs/>
          <w:color w:val="767171" w:themeColor="background2" w:themeShade="80"/>
        </w:rPr>
        <w:t>pa</w:t>
      </w:r>
      <w:r>
        <w:rPr>
          <w:b/>
          <w:bCs/>
          <w:color w:val="767171" w:themeColor="background2" w:themeShade="80"/>
        </w:rPr>
        <w:t xml:space="preserve">rameters and proposed values.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134"/>
        <w:gridCol w:w="2977"/>
        <w:gridCol w:w="2693"/>
      </w:tblGrid>
      <w:tr w:rsidR="00C801A7" w:rsidRPr="00F41BE4" w14:paraId="46689728" w14:textId="77777777" w:rsidTr="00CB2C37">
        <w:trPr>
          <w:trHeight w:val="330"/>
        </w:trPr>
        <w:tc>
          <w:tcPr>
            <w:tcW w:w="2552" w:type="dxa"/>
            <w:shd w:val="clear" w:color="auto" w:fill="D0CECE" w:themeFill="background2" w:themeFillShade="E6"/>
            <w:noWrap/>
          </w:tcPr>
          <w:p w14:paraId="4BB7A687" w14:textId="77777777" w:rsidR="00C801A7" w:rsidRPr="00F41BE4" w:rsidRDefault="00C801A7" w:rsidP="00CB2C37">
            <w:pPr>
              <w:jc w:val="center"/>
              <w:rPr>
                <w:rFonts w:ascii="Calibri" w:eastAsia="Times New Roman" w:hAnsi="Calibri" w:cs="Calibri"/>
                <w:color w:val="000000"/>
                <w:lang w:eastAsia="en-GB"/>
              </w:rPr>
            </w:pPr>
            <w:r w:rsidRPr="00B93295">
              <w:rPr>
                <w:b/>
                <w:bCs/>
                <w:sz w:val="20"/>
                <w:szCs w:val="20"/>
              </w:rPr>
              <w:t>Parameter</w:t>
            </w:r>
          </w:p>
        </w:tc>
        <w:tc>
          <w:tcPr>
            <w:tcW w:w="1134" w:type="dxa"/>
            <w:shd w:val="clear" w:color="auto" w:fill="D0CECE" w:themeFill="background2" w:themeFillShade="E6"/>
            <w:noWrap/>
          </w:tcPr>
          <w:p w14:paraId="5F7C5BE9" w14:textId="77777777" w:rsidR="00C801A7" w:rsidRPr="00F41BE4" w:rsidRDefault="00C801A7" w:rsidP="00CB2C37">
            <w:pPr>
              <w:jc w:val="center"/>
              <w:rPr>
                <w:rFonts w:ascii="Calibri" w:eastAsia="Times New Roman" w:hAnsi="Calibri" w:cs="Calibri"/>
                <w:color w:val="000000"/>
                <w:lang w:eastAsia="en-GB"/>
              </w:rPr>
            </w:pPr>
            <w:r w:rsidRPr="00B93295">
              <w:rPr>
                <w:b/>
                <w:bCs/>
                <w:sz w:val="20"/>
                <w:szCs w:val="20"/>
              </w:rPr>
              <w:t>Proposed value</w:t>
            </w:r>
          </w:p>
        </w:tc>
        <w:tc>
          <w:tcPr>
            <w:tcW w:w="2977" w:type="dxa"/>
            <w:shd w:val="clear" w:color="auto" w:fill="D0CECE" w:themeFill="background2" w:themeFillShade="E6"/>
          </w:tcPr>
          <w:p w14:paraId="40DEF5CD" w14:textId="77777777" w:rsidR="00C801A7" w:rsidRPr="00F41BE4" w:rsidRDefault="00C801A7" w:rsidP="00CB2C37">
            <w:pPr>
              <w:jc w:val="center"/>
              <w:rPr>
                <w:rFonts w:ascii="Calibri" w:eastAsia="Times New Roman" w:hAnsi="Calibri" w:cs="Calibri"/>
                <w:color w:val="000000"/>
                <w:lang w:eastAsia="en-GB"/>
              </w:rPr>
            </w:pPr>
            <w:r w:rsidRPr="00B93295">
              <w:rPr>
                <w:b/>
                <w:bCs/>
                <w:sz w:val="20"/>
                <w:szCs w:val="20"/>
              </w:rPr>
              <w:t>Description</w:t>
            </w:r>
          </w:p>
        </w:tc>
        <w:tc>
          <w:tcPr>
            <w:tcW w:w="2693" w:type="dxa"/>
            <w:shd w:val="clear" w:color="auto" w:fill="D0CECE" w:themeFill="background2" w:themeFillShade="E6"/>
          </w:tcPr>
          <w:p w14:paraId="4488927D" w14:textId="77777777" w:rsidR="00C801A7" w:rsidRPr="00F41BE4" w:rsidRDefault="00C801A7" w:rsidP="00CB2C37">
            <w:pPr>
              <w:jc w:val="center"/>
              <w:rPr>
                <w:rFonts w:ascii="Calibri" w:eastAsia="Times New Roman" w:hAnsi="Calibri" w:cs="Calibri"/>
                <w:color w:val="000000"/>
                <w:lang w:eastAsia="en-GB"/>
              </w:rPr>
            </w:pPr>
            <w:r w:rsidRPr="00B93295">
              <w:rPr>
                <w:b/>
                <w:bCs/>
                <w:sz w:val="20"/>
                <w:szCs w:val="20"/>
              </w:rPr>
              <w:t>Reference Notes</w:t>
            </w:r>
          </w:p>
        </w:tc>
      </w:tr>
      <w:tr w:rsidR="00C801A7" w:rsidRPr="00F41BE4" w14:paraId="5CED84F6" w14:textId="77777777" w:rsidTr="00AD087D">
        <w:trPr>
          <w:trHeight w:val="531"/>
        </w:trPr>
        <w:tc>
          <w:tcPr>
            <w:tcW w:w="2552" w:type="dxa"/>
            <w:shd w:val="clear" w:color="auto" w:fill="F2F2F2" w:themeFill="background1" w:themeFillShade="F2"/>
            <w:noWrap/>
            <w:hideMark/>
          </w:tcPr>
          <w:p w14:paraId="357BB9E4"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rr_iron_def_ifa_pn</w:t>
            </w:r>
          </w:p>
        </w:tc>
        <w:tc>
          <w:tcPr>
            <w:tcW w:w="1134" w:type="dxa"/>
            <w:noWrap/>
            <w:hideMark/>
          </w:tcPr>
          <w:p w14:paraId="669729EE" w14:textId="77777777" w:rsidR="00C801A7" w:rsidRPr="001500DF" w:rsidRDefault="00C801A7" w:rsidP="00CB2C37">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0.43</w:t>
            </w:r>
          </w:p>
        </w:tc>
        <w:tc>
          <w:tcPr>
            <w:tcW w:w="2977" w:type="dxa"/>
            <w:shd w:val="clear" w:color="auto" w:fill="F2F2F2" w:themeFill="background1" w:themeFillShade="F2"/>
          </w:tcPr>
          <w:p w14:paraId="503081F3" w14:textId="77777777" w:rsidR="00C801A7" w:rsidRPr="001500DF" w:rsidRDefault="00C801A7" w:rsidP="00CB2C37">
            <w:pPr>
              <w:rPr>
                <w:rFonts w:ascii="Calibri" w:hAnsi="Calibri" w:cs="Calibri"/>
                <w:color w:val="000000" w:themeColor="text1"/>
                <w:sz w:val="18"/>
                <w:szCs w:val="18"/>
              </w:rPr>
            </w:pPr>
            <w:r w:rsidRPr="001500DF">
              <w:rPr>
                <w:rFonts w:ascii="Calibri" w:hAnsi="Calibri" w:cs="Calibri"/>
                <w:color w:val="000000" w:themeColor="text1"/>
                <w:sz w:val="18"/>
                <w:szCs w:val="18"/>
              </w:rPr>
              <w:t>effect of iron and folic acid treatment on risk of iron deficiency</w:t>
            </w:r>
          </w:p>
          <w:p w14:paraId="6FF63618" w14:textId="77777777" w:rsidR="00C801A7" w:rsidRPr="001500DF" w:rsidRDefault="00C801A7" w:rsidP="00CB2C37">
            <w:pPr>
              <w:rPr>
                <w:rFonts w:ascii="Calibri" w:hAnsi="Calibri" w:cs="Calibri"/>
                <w:color w:val="000000" w:themeColor="text1"/>
                <w:sz w:val="18"/>
                <w:szCs w:val="18"/>
              </w:rPr>
            </w:pPr>
          </w:p>
        </w:tc>
        <w:tc>
          <w:tcPr>
            <w:tcW w:w="2693" w:type="dxa"/>
          </w:tcPr>
          <w:p w14:paraId="5386295C" w14:textId="3D9A468B" w:rsidR="00C801A7" w:rsidRPr="00AD087D" w:rsidRDefault="00AD087D" w:rsidP="00AD087D">
            <w:pPr>
              <w:rPr>
                <w:rFonts w:ascii="Calibri" w:hAnsi="Calibri" w:cs="Calibri"/>
                <w:i/>
                <w:noProof/>
                <w:color w:val="000000" w:themeColor="text1"/>
                <w:sz w:val="18"/>
                <w:szCs w:val="18"/>
              </w:rPr>
            </w:pPr>
            <w:r w:rsidRPr="00AD087D">
              <w:rPr>
                <w:rFonts w:ascii="Calibri" w:hAnsi="Calibri" w:cs="Calibri"/>
                <w:i/>
                <w:noProof/>
                <w:color w:val="000000" w:themeColor="text1"/>
                <w:sz w:val="18"/>
                <w:szCs w:val="18"/>
              </w:rPr>
              <w:fldChar w:fldCharType="begin" w:fldLock="1"/>
            </w:r>
            <w:r w:rsidRPr="00AD087D">
              <w:rPr>
                <w:rFonts w:ascii="Calibri" w:hAnsi="Calibri" w:cs="Calibri"/>
                <w:i/>
                <w:noProof/>
                <w:color w:val="000000" w:themeColor="text1"/>
                <w:sz w:val="18"/>
                <w:szCs w:val="18"/>
              </w:rPr>
              <w:instrText>ADDIN CSL_CITATION {"citationItems":[{"id":"ITEM-1","itemData":{"DOI":"10.1002/14651858.CD004736.pub5","ISSN":"1469493X","PMID":"26198451","abstract":"Background Iron and folic acid supplementation has been the preferred intervention to improve iron stores and prevent anaemia among pregnant women, and it is thought to improve other maternal and birth outcomes. Objectives To assess the effects of daily oral iron supplements for pregnant women, either alone or in conjunction with folic acid, or with other vitamins and minerals as a public health intervention in antenatal care. Search methods We searched the Cochrane Pregnancy and Childbirth Group's Trials Register (10 January 2015). We also searched the WHO International Clinical Trials Registry Platform (ICTRP) (26 February 2015) and contacted relevant organisations for the identification of ongoing and unpublished studies (26 February 2015). Selection criteria Randomised or quasi-randomised trials evaluating the effects of oral preventive supplementation with daily iron, iron + folic acid or iron + other vitamins and minerals during pregnancy. Data collection and analysis We assessed the methodological quality of trials using standard Cochrane criteria. Two review authors independently assessed trial eligibility, extracted data and conducted checks for accuracy. We used the GRADE approach to assess the quality of the evidence for primary outcomes. We anticipated high heterogeneity among trials and we pooled trial results using a random-effects model and were cautious in our interpretation of the pooled results: the random-effects model gives the average treatment effect. Main results We included 61 trials. Forty-four trials, involving 43,274 women, contributed data and compared the effects of daily oral supplements containing iron versus no iron or placebo. Preventive iron supplementation reduced maternal anaemia at term by 70% (risk ratio (RR) 0.30; 95% confidence interval (CI) 0.19 to 0.46, 14 trials, 2199 women, low quality evidence), iron-deficiency anaemia at term (RR 0.33; 95% CI 0.16 to 0.69, six trials, 1088 women), and iron deficiency at term by 57% (RR 0.43; 95% CI 0.27 to 0.66, seven trials, 1256 women, low quality evidence). There were no clear differences between groups for severe anaemia in the second or third trimester, or maternal infection during pregnancy (RR 0.22; 95% CI 0.01 to 3.20, nine trials, 2125 women, very low quality evidence; and, RR 1.21; 95% CI 0.33 to 4.46; one trial, 727 women, low quality evidence, respectively), or maternal mortality (RR 0.33; 95% CI 0.01 to 8.19, two trials, 12,560 women, very low quality evidence),…","author":[{"dropping-particle":"","family":"Peña-Rosas","given":"Juan Pablo","non-dropping-particle":"","parse-names":false,"suffix":""},{"dropping-particle":"","family":"De-Regil","given":"Luz Maria","non-dropping-particle":"","parse-names":false,"suffix":""},{"dropping-particle":"","family":"Garcia-Casal","given":"Maria N.","non-dropping-particle":"","parse-names":false,"suffix":""},{"dropping-particle":"","family":"Dowswell","given":"Therese","non-dropping-particle":"","parse-names":false,"suffix":""}],"container-title":"Cochrane Database of Systematic Reviews","id":"ITEM-1","issue":"7","issued":{"date-parts":[["2015"]]},"page":"1-527","publisher":"John Wiley and Sons Ltd","title":"Daily oral iron supplementation during pregnancy","type":"article","volume":"2015"},"uris":["http://www.mendeley.com/documents/?uuid=a9a0d378-cf0a-3ce2-93d6-8ffb692595aa"]}],"mendeley":{"formattedCitation":"(Peña-Rosas &lt;i&gt;et al.&lt;/i&gt;, 2015)","plainTextFormattedCitation":"(Peña-Rosas et al., 2015)","previouslyFormattedCitation":"(Peña-Rosas &lt;i&gt;et al.&lt;/i&gt;, 2015)"},"properties":{"noteIndex":0},"schema":"https://github.com/citation-style-language/schema/raw/master/csl-citation.json"}</w:instrText>
            </w:r>
            <w:r w:rsidRPr="00AD087D">
              <w:rPr>
                <w:rFonts w:ascii="Calibri" w:hAnsi="Calibri" w:cs="Calibri"/>
                <w:i/>
                <w:noProof/>
                <w:color w:val="000000" w:themeColor="text1"/>
                <w:sz w:val="18"/>
                <w:szCs w:val="18"/>
              </w:rPr>
              <w:fldChar w:fldCharType="separate"/>
            </w:r>
            <w:r w:rsidRPr="00AD087D">
              <w:rPr>
                <w:rFonts w:ascii="Calibri" w:hAnsi="Calibri" w:cs="Calibri"/>
                <w:noProof/>
                <w:color w:val="000000" w:themeColor="text1"/>
                <w:sz w:val="18"/>
                <w:szCs w:val="18"/>
              </w:rPr>
              <w:t>(Peña-Rosas</w:t>
            </w:r>
            <w:r w:rsidRPr="00AD087D">
              <w:rPr>
                <w:rFonts w:ascii="Calibri" w:hAnsi="Calibri" w:cs="Calibri"/>
                <w:i/>
                <w:noProof/>
                <w:color w:val="000000" w:themeColor="text1"/>
                <w:sz w:val="18"/>
                <w:szCs w:val="18"/>
              </w:rPr>
              <w:t xml:space="preserve"> et al.,</w:t>
            </w:r>
            <w:r w:rsidRPr="00AD087D">
              <w:rPr>
                <w:rFonts w:ascii="Calibri" w:hAnsi="Calibri" w:cs="Calibri"/>
                <w:noProof/>
                <w:color w:val="000000" w:themeColor="text1"/>
                <w:sz w:val="18"/>
                <w:szCs w:val="18"/>
              </w:rPr>
              <w:t xml:space="preserve"> 2015)</w:t>
            </w:r>
            <w:r w:rsidRPr="00AD087D">
              <w:rPr>
                <w:rFonts w:ascii="Calibri" w:hAnsi="Calibri" w:cs="Calibri"/>
                <w:i/>
                <w:noProof/>
                <w:color w:val="000000" w:themeColor="text1"/>
                <w:sz w:val="18"/>
                <w:szCs w:val="18"/>
              </w:rPr>
              <w:fldChar w:fldCharType="end"/>
            </w:r>
          </w:p>
        </w:tc>
      </w:tr>
      <w:tr w:rsidR="00AD087D" w:rsidRPr="00F41BE4" w14:paraId="44F9BFFE" w14:textId="77777777" w:rsidTr="00CB2C37">
        <w:trPr>
          <w:trHeight w:val="288"/>
        </w:trPr>
        <w:tc>
          <w:tcPr>
            <w:tcW w:w="2552" w:type="dxa"/>
            <w:shd w:val="clear" w:color="auto" w:fill="F2F2F2" w:themeFill="background1" w:themeFillShade="F2"/>
            <w:noWrap/>
            <w:hideMark/>
          </w:tcPr>
          <w:p w14:paraId="1F12C9B4"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rr_folate_def_ifa_pn</w:t>
            </w:r>
          </w:p>
        </w:tc>
        <w:tc>
          <w:tcPr>
            <w:tcW w:w="1134" w:type="dxa"/>
            <w:noWrap/>
            <w:hideMark/>
          </w:tcPr>
          <w:p w14:paraId="2ED0CD4B"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0.43</w:t>
            </w:r>
          </w:p>
        </w:tc>
        <w:tc>
          <w:tcPr>
            <w:tcW w:w="2977" w:type="dxa"/>
            <w:shd w:val="clear" w:color="auto" w:fill="F2F2F2" w:themeFill="background1" w:themeFillShade="F2"/>
          </w:tcPr>
          <w:p w14:paraId="1B6073FD" w14:textId="77777777" w:rsidR="00AD087D"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effect of iron and folic acid treatment on risk of folate deficiency</w:t>
            </w:r>
          </w:p>
          <w:p w14:paraId="5E4E7E29" w14:textId="77777777" w:rsidR="00AD087D" w:rsidRPr="001500DF" w:rsidRDefault="00AD087D" w:rsidP="00AD087D">
            <w:pPr>
              <w:rPr>
                <w:rFonts w:ascii="Calibri" w:hAnsi="Calibri" w:cs="Calibri"/>
                <w:color w:val="000000" w:themeColor="text1"/>
                <w:sz w:val="18"/>
                <w:szCs w:val="18"/>
              </w:rPr>
            </w:pPr>
          </w:p>
        </w:tc>
        <w:tc>
          <w:tcPr>
            <w:tcW w:w="2693" w:type="dxa"/>
            <w:shd w:val="clear" w:color="auto" w:fill="auto"/>
          </w:tcPr>
          <w:p w14:paraId="044ACF27" w14:textId="6F8A363B" w:rsidR="00AD087D" w:rsidRPr="00AD087D" w:rsidRDefault="00AD087D" w:rsidP="00AD087D">
            <w:pPr>
              <w:rPr>
                <w:rFonts w:ascii="Calibri" w:hAnsi="Calibri" w:cs="Calibri"/>
                <w:i/>
                <w:noProof/>
                <w:color w:val="000000" w:themeColor="text1"/>
                <w:sz w:val="18"/>
                <w:szCs w:val="18"/>
              </w:rPr>
            </w:pPr>
            <w:r w:rsidRPr="00AD087D">
              <w:rPr>
                <w:rFonts w:ascii="Calibri" w:hAnsi="Calibri" w:cs="Calibri"/>
                <w:i/>
                <w:noProof/>
                <w:color w:val="000000" w:themeColor="text1"/>
                <w:sz w:val="18"/>
                <w:szCs w:val="18"/>
              </w:rPr>
              <w:fldChar w:fldCharType="begin" w:fldLock="1"/>
            </w:r>
            <w:r w:rsidRPr="00AD087D">
              <w:rPr>
                <w:rFonts w:ascii="Calibri" w:hAnsi="Calibri" w:cs="Calibri"/>
                <w:i/>
                <w:noProof/>
                <w:color w:val="000000" w:themeColor="text1"/>
                <w:sz w:val="18"/>
                <w:szCs w:val="18"/>
              </w:rPr>
              <w:instrText>ADDIN CSL_CITATION {"citationItems":[{"id":"ITEM-1","itemData":{"DOI":"10.1002/14651858.CD004736.pub5","ISSN":"1469493X","PMID":"26198451","abstract":"Background Iron and folic acid supplementation has been the preferred intervention to improve iron stores and prevent anaemia among pregnant women, and it is thought to improve other maternal and birth outcomes. Objectives To assess the effects of daily oral iron supplements for pregnant women, either alone or in conjunction with folic acid, or with other vitamins and minerals as a public health intervention in antenatal care. Search methods We searched the Cochrane Pregnancy and Childbirth Group's Trials Register (10 January 2015). We also searched the WHO International Clinical Trials Registry Platform (ICTRP) (26 February 2015) and contacted relevant organisations for the identification of ongoing and unpublished studies (26 February 2015). Selection criteria Randomised or quasi-randomised trials evaluating the effects of oral preventive supplementation with daily iron, iron + folic acid or iron + other vitamins and minerals during pregnancy. Data collection and analysis We assessed the methodological quality of trials using standard Cochrane criteria. Two review authors independently assessed trial eligibility, extracted data and conducted checks for accuracy. We used the GRADE approach to assess the quality of the evidence for primary outcomes. We anticipated high heterogeneity among trials and we pooled trial results using a random-effects model and were cautious in our interpretation of the pooled results: the random-effects model gives the average treatment effect. Main results We included 61 trials. Forty-four trials, involving 43,274 women, contributed data and compared the effects of daily oral supplements containing iron versus no iron or placebo. Preventive iron supplementation reduced maternal anaemia at term by 70% (risk ratio (RR) 0.30; 95% confidence interval (CI) 0.19 to 0.46, 14 trials, 2199 women, low quality evidence), iron-deficiency anaemia at term (RR 0.33; 95% CI 0.16 to 0.69, six trials, 1088 women), and iron deficiency at term by 57% (RR 0.43; 95% CI 0.27 to 0.66, seven trials, 1256 women, low quality evidence). There were no clear differences between groups for severe anaemia in the second or third trimester, or maternal infection during pregnancy (RR 0.22; 95% CI 0.01 to 3.20, nine trials, 2125 women, very low quality evidence; and, RR 1.21; 95% CI 0.33 to 4.46; one trial, 727 women, low quality evidence, respectively), or maternal mortality (RR 0.33; 95% CI 0.01 to 8.19, two trials, 12,560 women, very low quality evidence),…","author":[{"dropping-particle":"","family":"Peña-Rosas","given":"Juan Pablo","non-dropping-particle":"","parse-names":false,"suffix":""},{"dropping-particle":"","family":"De-Regil","given":"Luz Maria","non-dropping-particle":"","parse-names":false,"suffix":""},{"dropping-particle":"","family":"Garcia-Casal","given":"Maria N.","non-dropping-particle":"","parse-names":false,"suffix":""},{"dropping-particle":"","family":"Dowswell","given":"Therese","non-dropping-particle":"","parse-names":false,"suffix":""}],"container-title":"Cochrane Database of Systematic Reviews","id":"ITEM-1","issue":"7","issued":{"date-parts":[["2015"]]},"page":"1-527","publisher":"John Wiley and Sons Ltd","title":"Daily oral iron supplementation during pregnancy","type":"article","volume":"2015"},"uris":["http://www.mendeley.com/documents/?uuid=a9a0d378-cf0a-3ce2-93d6-8ffb692595aa"]}],"mendeley":{"formattedCitation":"(Peña-Rosas &lt;i&gt;et al.&lt;/i&gt;, 2015)","plainTextFormattedCitation":"(Peña-Rosas et al., 2015)","previouslyFormattedCitation":"(Peña-Rosas &lt;i&gt;et al.&lt;/i&gt;, 2015)"},"properties":{"noteIndex":0},"schema":"https://github.com/citation-style-language/schema/raw/master/csl-citation.json"}</w:instrText>
            </w:r>
            <w:r w:rsidRPr="00AD087D">
              <w:rPr>
                <w:rFonts w:ascii="Calibri" w:hAnsi="Calibri" w:cs="Calibri"/>
                <w:i/>
                <w:noProof/>
                <w:color w:val="000000" w:themeColor="text1"/>
                <w:sz w:val="18"/>
                <w:szCs w:val="18"/>
              </w:rPr>
              <w:fldChar w:fldCharType="separate"/>
            </w:r>
            <w:r w:rsidRPr="00AD087D">
              <w:rPr>
                <w:rFonts w:ascii="Calibri" w:hAnsi="Calibri" w:cs="Calibri"/>
                <w:noProof/>
                <w:color w:val="000000" w:themeColor="text1"/>
                <w:sz w:val="18"/>
                <w:szCs w:val="18"/>
              </w:rPr>
              <w:t>(Peña-Rosas</w:t>
            </w:r>
            <w:r w:rsidRPr="00AD087D">
              <w:rPr>
                <w:rFonts w:ascii="Calibri" w:hAnsi="Calibri" w:cs="Calibri"/>
                <w:i/>
                <w:noProof/>
                <w:color w:val="000000" w:themeColor="text1"/>
                <w:sz w:val="18"/>
                <w:szCs w:val="18"/>
              </w:rPr>
              <w:t xml:space="preserve"> et al.,</w:t>
            </w:r>
            <w:r w:rsidRPr="00AD087D">
              <w:rPr>
                <w:rFonts w:ascii="Calibri" w:hAnsi="Calibri" w:cs="Calibri"/>
                <w:noProof/>
                <w:color w:val="000000" w:themeColor="text1"/>
                <w:sz w:val="18"/>
                <w:szCs w:val="18"/>
              </w:rPr>
              <w:t xml:space="preserve"> 2015)</w:t>
            </w:r>
            <w:r w:rsidRPr="00AD087D">
              <w:rPr>
                <w:rFonts w:ascii="Calibri" w:hAnsi="Calibri" w:cs="Calibri"/>
                <w:i/>
                <w:noProof/>
                <w:color w:val="000000" w:themeColor="text1"/>
                <w:sz w:val="18"/>
                <w:szCs w:val="18"/>
              </w:rPr>
              <w:fldChar w:fldCharType="end"/>
            </w:r>
          </w:p>
        </w:tc>
      </w:tr>
      <w:tr w:rsidR="00AD087D" w:rsidRPr="00F41BE4" w14:paraId="024B3925" w14:textId="77777777" w:rsidTr="00CB2C37">
        <w:trPr>
          <w:trHeight w:val="288"/>
        </w:trPr>
        <w:tc>
          <w:tcPr>
            <w:tcW w:w="2552" w:type="dxa"/>
            <w:shd w:val="clear" w:color="auto" w:fill="F2F2F2" w:themeFill="background1" w:themeFillShade="F2"/>
            <w:noWrap/>
            <w:hideMark/>
          </w:tcPr>
          <w:p w14:paraId="3C474F49"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treatment_effect_early_init_bf</w:t>
            </w:r>
          </w:p>
        </w:tc>
        <w:tc>
          <w:tcPr>
            <w:tcW w:w="1134" w:type="dxa"/>
            <w:noWrap/>
            <w:hideMark/>
          </w:tcPr>
          <w:p w14:paraId="16B97F76"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0.85</w:t>
            </w:r>
          </w:p>
        </w:tc>
        <w:tc>
          <w:tcPr>
            <w:tcW w:w="2977" w:type="dxa"/>
            <w:shd w:val="clear" w:color="auto" w:fill="F2F2F2" w:themeFill="background1" w:themeFillShade="F2"/>
          </w:tcPr>
          <w:p w14:paraId="655B8078"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 xml:space="preserve">'effect of early initiation of breastfeeding on neonatal sepsis rates </w:t>
            </w:r>
          </w:p>
          <w:p w14:paraId="025C7B0D" w14:textId="77777777" w:rsidR="00AD087D" w:rsidRPr="001500DF" w:rsidRDefault="00AD087D" w:rsidP="00AD087D">
            <w:pPr>
              <w:rPr>
                <w:rFonts w:ascii="Calibri" w:hAnsi="Calibri" w:cs="Calibri"/>
                <w:color w:val="000000" w:themeColor="text1"/>
                <w:sz w:val="18"/>
                <w:szCs w:val="18"/>
              </w:rPr>
            </w:pPr>
          </w:p>
        </w:tc>
        <w:tc>
          <w:tcPr>
            <w:tcW w:w="2693" w:type="dxa"/>
          </w:tcPr>
          <w:p w14:paraId="30E95413" w14:textId="7774D9B6" w:rsidR="00AD087D" w:rsidRPr="001500DF" w:rsidRDefault="00AD087D" w:rsidP="00AD087D">
            <w:pPr>
              <w:rPr>
                <w:rFonts w:ascii="Calibri" w:hAnsi="Calibri" w:cs="Calibri"/>
                <w:color w:val="000000" w:themeColor="text1"/>
                <w:sz w:val="18"/>
                <w:szCs w:val="18"/>
              </w:rPr>
            </w:pPr>
            <w:r w:rsidRPr="00AD087D">
              <w:rPr>
                <w:rFonts w:ascii="Calibri" w:hAnsi="Calibri" w:cs="Calibri"/>
                <w:color w:val="000000" w:themeColor="text1"/>
                <w:sz w:val="18"/>
                <w:szCs w:val="18"/>
              </w:rPr>
              <w:t>Breastfeeding effect sizes on mortality in LiST (technical note found in spectrum help section)</w:t>
            </w:r>
          </w:p>
        </w:tc>
      </w:tr>
      <w:tr w:rsidR="00AD087D" w:rsidRPr="00F41BE4" w14:paraId="041A3046" w14:textId="77777777" w:rsidTr="00CB2C37">
        <w:trPr>
          <w:trHeight w:val="288"/>
        </w:trPr>
        <w:tc>
          <w:tcPr>
            <w:tcW w:w="2552" w:type="dxa"/>
            <w:shd w:val="clear" w:color="auto" w:fill="F2F2F2" w:themeFill="background1" w:themeFillShade="F2"/>
            <w:noWrap/>
            <w:hideMark/>
          </w:tcPr>
          <w:p w14:paraId="1ADBFB90"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treatment_effect_abx_prom</w:t>
            </w:r>
          </w:p>
        </w:tc>
        <w:tc>
          <w:tcPr>
            <w:tcW w:w="1134" w:type="dxa"/>
            <w:noWrap/>
            <w:hideMark/>
          </w:tcPr>
          <w:p w14:paraId="044E82DC"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0.61</w:t>
            </w:r>
          </w:p>
        </w:tc>
        <w:tc>
          <w:tcPr>
            <w:tcW w:w="2977" w:type="dxa"/>
            <w:shd w:val="clear" w:color="auto" w:fill="F2F2F2" w:themeFill="background1" w:themeFillShade="F2"/>
          </w:tcPr>
          <w:p w14:paraId="52FED73C"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 xml:space="preserve">effect of early antibiotics given to a mother with PROM on neonatal sepsis rates </w:t>
            </w:r>
          </w:p>
          <w:p w14:paraId="1594042C" w14:textId="77777777" w:rsidR="00AD087D" w:rsidRPr="001500DF" w:rsidRDefault="00AD087D" w:rsidP="00AD087D">
            <w:pPr>
              <w:rPr>
                <w:rFonts w:ascii="Calibri" w:hAnsi="Calibri" w:cs="Calibri"/>
                <w:color w:val="000000" w:themeColor="text1"/>
                <w:sz w:val="18"/>
                <w:szCs w:val="18"/>
              </w:rPr>
            </w:pPr>
          </w:p>
        </w:tc>
        <w:tc>
          <w:tcPr>
            <w:tcW w:w="2693" w:type="dxa"/>
          </w:tcPr>
          <w:p w14:paraId="6A70CA9F" w14:textId="335EB6AB" w:rsidR="00AD087D" w:rsidRPr="001500DF" w:rsidRDefault="00AD087D" w:rsidP="00AD087D">
            <w:pPr>
              <w:rPr>
                <w:rFonts w:ascii="Calibri" w:hAnsi="Calibri" w:cs="Calibri"/>
                <w:color w:val="000000" w:themeColor="text1"/>
                <w:sz w:val="18"/>
                <w:szCs w:val="18"/>
              </w:rPr>
            </w:pPr>
            <w:r>
              <w:rPr>
                <w:rFonts w:ascii="Calibri" w:hAnsi="Calibri" w:cs="Calibri"/>
                <w:color w:val="000000" w:themeColor="text1"/>
                <w:sz w:val="18"/>
                <w:szCs w:val="18"/>
              </w:rPr>
              <w:fldChar w:fldCharType="begin" w:fldLock="1"/>
            </w:r>
            <w:r>
              <w:rPr>
                <w:rFonts w:ascii="Calibri" w:hAnsi="Calibri" w:cs="Calibri"/>
                <w:color w:val="000000" w:themeColor="text1"/>
                <w:sz w:val="18"/>
                <w:szCs w:val="18"/>
              </w:rPr>
              <w:instrText>ADDIN CSL_CITATION {"citationItems":[{"id":"ITEM-1","itemData":{"DOI":"10.1093/ije/dyq030","ISSN":"03005771","PMID":"20348116","abstract":"Background: In high-income countries, it is standard practice to give antibiotics to women with pre-term, pre-labour rupture of membranes (pPROM) to delay birth and reduce the risk of infection. In low and middle-income settings, where some 2 million neonatal deaths occur annually due to complications of pre-term birth or infection, many women do not receive antibiotic therapy for pPROM. Objectives: To review the evidence for and estimate the effect on neonatal mortality due to pre-term birth complications or infection, of administration of antibiotics to women with pPROM, in low and middle-income countries. Methods: We performed a systematic review to update a Cochrane review. Standardized abstraction forms were used. The quality of the evidence provided by individual studies and overall was assessed using an adapted GRADE approach. Results: Eighteen RCTs met our inclusion criteria. Most were from high-income countries and provide strong evidence that antibiotics for pPROM reduce the risk of respiratory distress syndrome [risk ratio (RR)=0.88; confidence interval (CI) 0.80, 0.97], and early onset postnatal infection (RR=0.61; CI 0.48, 0.77). The data are consistent with a reduction in neonatal mortality (RR=0.90; CI 0.72, 1.12). Conclusion: Antibiotics for pPROM reduce complications due to pre-term delivery and post-natal infection in high-income settings. There is moderate quality evidence that, in low-income settings, where access to other interventions (antenatal steroids, surfactant therapy, ventilation, antibiotic therapy) may be low, antibiotics for pPROM could prevent 4% of neonatal deaths due to complications of prematurity and 8% of those due to infection. © The Author 2010; all rights reserved.","author":[{"dropping-particle":"","family":"Cousens","given":"Simon","non-dropping-particle":"","parse-names":false,"suffix":""},{"dropping-particle":"","family":"Blencowe","given":"Hannah","non-dropping-particle":"","parse-names":false,"suffix":""},{"dropping-particle":"","family":"Gravett","given":"Michael","non-dropping-particle":"","parse-names":false,"suffix":""},{"dropping-particle":"","family":"Lawn","given":"Joy E.","non-dropping-particle":"","parse-names":false,"suffix":""}],"container-title":"International Journal of Epidemiology","id":"ITEM-1","issue":"SUPPL. 1","issued":{"date-parts":[["2010","4","1"]]},"page":"i134","publisher":"Oxford University Press","title":"Antibiotics for pre-term pre-labour rupture of membranes: Prevention of neonatal deaths due to complications of pre-term birth and infection","type":"article-journal","volume":"39"},"uris":["http://www.mendeley.com/documents/?uuid=13edfa1c-583c-35f8-9aaa-495c5945627d"]}],"mendeley":{"formattedCitation":"(Cousens &lt;i&gt;et al.&lt;/i&gt;, 2010)","plainTextFormattedCitation":"(Cousens et al., 2010)","previouslyFormattedCitation":"(Cousens &lt;i&gt;et al.&lt;/i&gt;, 2010)"},"properties":{"noteIndex":0},"schema":"https://github.com/citation-style-language/schema/raw/master/csl-citation.json"}</w:instrText>
            </w:r>
            <w:r>
              <w:rPr>
                <w:rFonts w:ascii="Calibri" w:hAnsi="Calibri" w:cs="Calibri"/>
                <w:color w:val="000000" w:themeColor="text1"/>
                <w:sz w:val="18"/>
                <w:szCs w:val="18"/>
              </w:rPr>
              <w:fldChar w:fldCharType="separate"/>
            </w:r>
            <w:r w:rsidRPr="00AD087D">
              <w:rPr>
                <w:rFonts w:ascii="Calibri" w:hAnsi="Calibri" w:cs="Calibri"/>
                <w:noProof/>
                <w:color w:val="000000" w:themeColor="text1"/>
                <w:sz w:val="18"/>
                <w:szCs w:val="18"/>
              </w:rPr>
              <w:t xml:space="preserve">(Cousens </w:t>
            </w:r>
            <w:r w:rsidRPr="00AD087D">
              <w:rPr>
                <w:rFonts w:ascii="Calibri" w:hAnsi="Calibri" w:cs="Calibri"/>
                <w:i/>
                <w:noProof/>
                <w:color w:val="000000" w:themeColor="text1"/>
                <w:sz w:val="18"/>
                <w:szCs w:val="18"/>
              </w:rPr>
              <w:t>et al.</w:t>
            </w:r>
            <w:r w:rsidRPr="00AD087D">
              <w:rPr>
                <w:rFonts w:ascii="Calibri" w:hAnsi="Calibri" w:cs="Calibri"/>
                <w:noProof/>
                <w:color w:val="000000" w:themeColor="text1"/>
                <w:sz w:val="18"/>
                <w:szCs w:val="18"/>
              </w:rPr>
              <w:t>, 2010)</w:t>
            </w:r>
            <w:r>
              <w:rPr>
                <w:rFonts w:ascii="Calibri" w:hAnsi="Calibri" w:cs="Calibri"/>
                <w:color w:val="000000" w:themeColor="text1"/>
                <w:sz w:val="18"/>
                <w:szCs w:val="18"/>
              </w:rPr>
              <w:fldChar w:fldCharType="end"/>
            </w:r>
          </w:p>
        </w:tc>
      </w:tr>
      <w:tr w:rsidR="00AD087D" w:rsidRPr="00F41BE4" w14:paraId="34B141E8" w14:textId="77777777" w:rsidTr="00CB2C37">
        <w:trPr>
          <w:trHeight w:val="288"/>
        </w:trPr>
        <w:tc>
          <w:tcPr>
            <w:tcW w:w="2552" w:type="dxa"/>
            <w:shd w:val="clear" w:color="auto" w:fill="F2F2F2" w:themeFill="background1" w:themeFillShade="F2"/>
            <w:noWrap/>
            <w:hideMark/>
          </w:tcPr>
          <w:p w14:paraId="7BBAA03A"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treatment_effect_inj_abx_sep</w:t>
            </w:r>
          </w:p>
        </w:tc>
        <w:tc>
          <w:tcPr>
            <w:tcW w:w="1134" w:type="dxa"/>
            <w:noWrap/>
            <w:hideMark/>
          </w:tcPr>
          <w:p w14:paraId="41A1D71E"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0.35</w:t>
            </w:r>
          </w:p>
        </w:tc>
        <w:tc>
          <w:tcPr>
            <w:tcW w:w="2977" w:type="dxa"/>
            <w:shd w:val="clear" w:color="auto" w:fill="F2F2F2" w:themeFill="background1" w:themeFillShade="F2"/>
          </w:tcPr>
          <w:p w14:paraId="78C67216"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effect of injectable antibiotics on neonatal sepsis mortality</w:t>
            </w:r>
          </w:p>
          <w:p w14:paraId="7013AE2D" w14:textId="77777777" w:rsidR="00AD087D" w:rsidRPr="001500DF" w:rsidRDefault="00AD087D" w:rsidP="00AD087D">
            <w:pPr>
              <w:rPr>
                <w:rFonts w:ascii="Calibri" w:hAnsi="Calibri" w:cs="Calibri"/>
                <w:color w:val="000000" w:themeColor="text1"/>
                <w:sz w:val="18"/>
                <w:szCs w:val="18"/>
              </w:rPr>
            </w:pPr>
          </w:p>
        </w:tc>
        <w:tc>
          <w:tcPr>
            <w:tcW w:w="2693" w:type="dxa"/>
          </w:tcPr>
          <w:p w14:paraId="3E0DDBAD" w14:textId="7EB5FBC0" w:rsidR="00AD087D" w:rsidRPr="001500DF" w:rsidRDefault="00AD087D" w:rsidP="00AD087D">
            <w:pPr>
              <w:rPr>
                <w:rFonts w:ascii="Calibri" w:hAnsi="Calibri" w:cs="Calibri"/>
                <w:color w:val="000000" w:themeColor="text1"/>
                <w:sz w:val="18"/>
                <w:szCs w:val="18"/>
              </w:rPr>
            </w:pPr>
            <w:r>
              <w:rPr>
                <w:rFonts w:ascii="Calibri" w:hAnsi="Calibri" w:cs="Calibri"/>
                <w:color w:val="000000" w:themeColor="text1"/>
                <w:sz w:val="18"/>
                <w:szCs w:val="18"/>
              </w:rPr>
              <w:fldChar w:fldCharType="begin" w:fldLock="1"/>
            </w:r>
            <w:r>
              <w:rPr>
                <w:rFonts w:ascii="Calibri" w:hAnsi="Calibri" w:cs="Calibri"/>
                <w:color w:val="000000" w:themeColor="text1"/>
                <w:sz w:val="18"/>
                <w:szCs w:val="18"/>
              </w:rPr>
              <w:instrText>ADDIN CSL_CITATION {"citationItems":[{"id":"ITEM-1","itemData":{"DOI":"10.1186/1471-2458-11-S3-S13","ISSN":"14712458","PMID":"21501430","abstract":"Background: Each year almost one million newborns die from infections, mostly in low-income countries. Timely case management would save many lives but the relative mortality effect of varying strategies is unknown. We have estimated the effect of providing oral, or injectable antibiotics at home or in first-level facilities, and of in-patient hospital care on neonatal mortality from pneumonia and sepsis for use in the Lives Saved Tool (LiST). Methods. We conducted systematic searches of multiple databases to identify relevant studies with mortality data. Standardized abstraction tables were used and study quality assessed by adapted GRADE criteria. Meta-analyses were undertaken where appropriate. For interventions with biological plausibility but low quality evidence, a Delphi process was undertaken to estimate effectiveness. Results: Searches of 2876 titles identified 7 studies. Among these, 4 evaluated oral antibiotics for neonatal pneumonia in non-randomised, concurrently controlled designs. Meta-analysis suggested reductions in all-cause neonatal mortality (RR 0.75 95% CI 0.64- 0.89; 4 studies) and neonatal pneumonia-specific mortality (RR 0.58 95% CI 0.41- 0.82; 3 studies). Two studies (1 RCT, 1 observational study), evaluated community-based neonatal care packages including injectable antibiotics and reported mortality reductions of 44% (RR= 0.56, 95% CI 0.41-0.77) and 34% (RR =0.66, 95% CI 0.47-0.93), but the interpretation of these results is complicated by co-interventions. A third, clinic-based, study reported a case-fatality ratio of 3.3% among neonates treated with injectable antibiotics as outpatients. No studies were identified evaluating injectable antibiotics alone for neonatal pneumonia. Delphi consensus (median from 20 respondents) effects on sepsis-specific mortality were 30% reduction for oral antibiotics, 65% for injectable antibiotics and 75% for injectable antibiotics on pneumonia-specific mortality. No trials were identified assessing effect of hospital management for neonatal infections and Delphi consensus suggested 80%, and 90% reductions for sepsis and pneumonia-specific mortality respectively. Conclusion: Oral antibiotics administered in the community are effective for neonatal pneumonia mortality reduction based on a meta-analysis, but expert opinion suggests much higher impact from injectable antibiotics in the community or primary care level and even higher for facility-based care. Despite feasibility and low cost, these…","author":[{"dropping-particle":"","family":"Zaidi","given":"Anita K.M.","non-dropping-particle":"","parse-names":false,"suffix":""},{"dropping-particle":"","family":"Ganatra","given":"Hammad A.","non-dropping-particle":"","parse-names":false,"suffix":""},{"dropping-particle":"","family":"Syed","given":"Sana","non-dropping-particle":"","parse-names":false,"suffix":""},{"dropping-particle":"","family":"Cousens","given":"Simon","non-dropping-particle":"","parse-names":false,"suffix":""},{"dropping-particle":"","family":"Lee","given":"Anne Cc","non-dropping-particle":"","parse-names":false,"suffix":""},{"dropping-particle":"","family":"Black","given":"Robert","non-dropping-particle":"","parse-names":false,"suffix":""},{"dropping-particle":"","family":"Bhutta","given":"Zulfiqar A.","non-dropping-particle":"","parse-names":false,"suffix":""},{"dropping-particle":"","family":"Lawn","given":"Joy E.","non-dropping-particle":"","parse-names":false,"suffix":""}],"container-title":"BMC Public Health","id":"ITEM-1","issue":"SUPPL. 3","issued":{"date-parts":[["2011","4","13"]]},"page":"S13","publisher":"BioMed Central","title":"Effect of case management on neonatal mortality due to sepsis and pneumonia","type":"article","volume":"11"},"uris":["http://www.mendeley.com/documents/?uuid=3b6895cb-e0fc-3f0c-b77b-bac81d0044c2"]}],"mendeley":{"formattedCitation":"(Zaidi &lt;i&gt;et al.&lt;/i&gt;, 2011)","plainTextFormattedCitation":"(Zaidi et al., 2011)","previouslyFormattedCitation":"(Zaidi &lt;i&gt;et al.&lt;/i&gt;, 2011)"},"properties":{"noteIndex":0},"schema":"https://github.com/citation-style-language/schema/raw/master/csl-citation.json"}</w:instrText>
            </w:r>
            <w:r>
              <w:rPr>
                <w:rFonts w:ascii="Calibri" w:hAnsi="Calibri" w:cs="Calibri"/>
                <w:color w:val="000000" w:themeColor="text1"/>
                <w:sz w:val="18"/>
                <w:szCs w:val="18"/>
              </w:rPr>
              <w:fldChar w:fldCharType="separate"/>
            </w:r>
            <w:r w:rsidRPr="00AD087D">
              <w:rPr>
                <w:rFonts w:ascii="Calibri" w:hAnsi="Calibri" w:cs="Calibri"/>
                <w:noProof/>
                <w:color w:val="000000" w:themeColor="text1"/>
                <w:sz w:val="18"/>
                <w:szCs w:val="18"/>
              </w:rPr>
              <w:t xml:space="preserve">(Zaidi </w:t>
            </w:r>
            <w:r w:rsidRPr="00AD087D">
              <w:rPr>
                <w:rFonts w:ascii="Calibri" w:hAnsi="Calibri" w:cs="Calibri"/>
                <w:i/>
                <w:noProof/>
                <w:color w:val="000000" w:themeColor="text1"/>
                <w:sz w:val="18"/>
                <w:szCs w:val="18"/>
              </w:rPr>
              <w:t>et al.</w:t>
            </w:r>
            <w:r w:rsidRPr="00AD087D">
              <w:rPr>
                <w:rFonts w:ascii="Calibri" w:hAnsi="Calibri" w:cs="Calibri"/>
                <w:noProof/>
                <w:color w:val="000000" w:themeColor="text1"/>
                <w:sz w:val="18"/>
                <w:szCs w:val="18"/>
              </w:rPr>
              <w:t>, 2011)</w:t>
            </w:r>
            <w:r>
              <w:rPr>
                <w:rFonts w:ascii="Calibri" w:hAnsi="Calibri" w:cs="Calibri"/>
                <w:color w:val="000000" w:themeColor="text1"/>
                <w:sz w:val="18"/>
                <w:szCs w:val="18"/>
              </w:rPr>
              <w:fldChar w:fldCharType="end"/>
            </w:r>
          </w:p>
        </w:tc>
      </w:tr>
      <w:tr w:rsidR="00AD087D" w:rsidRPr="00F41BE4" w14:paraId="3DCD3DA8" w14:textId="77777777" w:rsidTr="00CB2C37">
        <w:trPr>
          <w:trHeight w:val="288"/>
        </w:trPr>
        <w:tc>
          <w:tcPr>
            <w:tcW w:w="2552" w:type="dxa"/>
            <w:shd w:val="clear" w:color="auto" w:fill="F2F2F2" w:themeFill="background1" w:themeFillShade="F2"/>
            <w:noWrap/>
            <w:hideMark/>
          </w:tcPr>
          <w:p w14:paraId="0F3A34C1"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treatment_effect_supp_care_sep</w:t>
            </w:r>
          </w:p>
        </w:tc>
        <w:tc>
          <w:tcPr>
            <w:tcW w:w="1134" w:type="dxa"/>
            <w:noWrap/>
            <w:hideMark/>
          </w:tcPr>
          <w:p w14:paraId="470690ED"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0.2</w:t>
            </w:r>
          </w:p>
        </w:tc>
        <w:tc>
          <w:tcPr>
            <w:tcW w:w="2977" w:type="dxa"/>
            <w:shd w:val="clear" w:color="auto" w:fill="F2F2F2" w:themeFill="background1" w:themeFillShade="F2"/>
          </w:tcPr>
          <w:p w14:paraId="61F2B281"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effect of full supportive care on neonatal sepsis mortality</w:t>
            </w:r>
          </w:p>
          <w:p w14:paraId="36B6F9F9" w14:textId="77777777" w:rsidR="00AD087D" w:rsidRPr="001500DF" w:rsidRDefault="00AD087D" w:rsidP="00AD087D">
            <w:pPr>
              <w:rPr>
                <w:rFonts w:ascii="Calibri" w:hAnsi="Calibri" w:cs="Calibri"/>
                <w:color w:val="000000" w:themeColor="text1"/>
                <w:sz w:val="18"/>
                <w:szCs w:val="18"/>
              </w:rPr>
            </w:pPr>
          </w:p>
        </w:tc>
        <w:tc>
          <w:tcPr>
            <w:tcW w:w="2693" w:type="dxa"/>
          </w:tcPr>
          <w:p w14:paraId="24A089A5" w14:textId="4C7375B1" w:rsidR="00AD087D" w:rsidRPr="001500DF" w:rsidRDefault="00AD087D" w:rsidP="00AD087D">
            <w:pPr>
              <w:rPr>
                <w:rFonts w:ascii="Calibri" w:hAnsi="Calibri" w:cs="Calibri"/>
                <w:color w:val="000000" w:themeColor="text1"/>
                <w:sz w:val="18"/>
                <w:szCs w:val="18"/>
              </w:rPr>
            </w:pPr>
            <w:r>
              <w:rPr>
                <w:rFonts w:ascii="Calibri" w:hAnsi="Calibri" w:cs="Calibri"/>
                <w:color w:val="000000" w:themeColor="text1"/>
                <w:sz w:val="18"/>
                <w:szCs w:val="18"/>
              </w:rPr>
              <w:fldChar w:fldCharType="begin" w:fldLock="1"/>
            </w:r>
            <w:r>
              <w:rPr>
                <w:rFonts w:ascii="Calibri" w:hAnsi="Calibri" w:cs="Calibri"/>
                <w:color w:val="000000" w:themeColor="text1"/>
                <w:sz w:val="18"/>
                <w:szCs w:val="18"/>
              </w:rPr>
              <w:instrText>ADDIN CSL_CITATION {"citationItems":[{"id":"ITEM-1","itemData":{"DOI":"10.1186/1471-2458-11-S3-S13","ISSN":"14712458","PMID":"21501430","abstract":"Background: Each year almost one million newborns die from infections, mostly in low-income countries. Timely case management would save many lives but the relative mortality effect of varying strategies is unknown. We have estimated the effect of providing oral, or injectable antibiotics at home or in first-level facilities, and of in-patient hospital care on neonatal mortality from pneumonia and sepsis for use in the Lives Saved Tool (LiST). Methods. We conducted systematic searches of multiple databases to identify relevant studies with mortality data. Standardized abstraction tables were used and study quality assessed by adapted GRADE criteria. Meta-analyses were undertaken where appropriate. For interventions with biological plausibility but low quality evidence, a Delphi process was undertaken to estimate effectiveness. Results: Searches of 2876 titles identified 7 studies. Among these, 4 evaluated oral antibiotics for neonatal pneumonia in non-randomised, concurrently controlled designs. Meta-analysis suggested reductions in all-cause neonatal mortality (RR 0.75 95% CI 0.64- 0.89; 4 studies) and neonatal pneumonia-specific mortality (RR 0.58 95% CI 0.41- 0.82; 3 studies). Two studies (1 RCT, 1 observational study), evaluated community-based neonatal care packages including injectable antibiotics and reported mortality reductions of 44% (RR= 0.56, 95% CI 0.41-0.77) and 34% (RR =0.66, 95% CI 0.47-0.93), but the interpretation of these results is complicated by co-interventions. A third, clinic-based, study reported a case-fatality ratio of 3.3% among neonates treated with injectable antibiotics as outpatients. No studies were identified evaluating injectable antibiotics alone for neonatal pneumonia. Delphi consensus (median from 20 respondents) effects on sepsis-specific mortality were 30% reduction for oral antibiotics, 65% for injectable antibiotics and 75% for injectable antibiotics on pneumonia-specific mortality. No trials were identified assessing effect of hospital management for neonatal infections and Delphi consensus suggested 80%, and 90% reductions for sepsis and pneumonia-specific mortality respectively. Conclusion: Oral antibiotics administered in the community are effective for neonatal pneumonia mortality reduction based on a meta-analysis, but expert opinion suggests much higher impact from injectable antibiotics in the community or primary care level and even higher for facility-based care. Despite feasibility and low cost, these…","author":[{"dropping-particle":"","family":"Zaidi","given":"Anita K.M.","non-dropping-particle":"","parse-names":false,"suffix":""},{"dropping-particle":"","family":"Ganatra","given":"Hammad A.","non-dropping-particle":"","parse-names":false,"suffix":""},{"dropping-particle":"","family":"Syed","given":"Sana","non-dropping-particle":"","parse-names":false,"suffix":""},{"dropping-particle":"","family":"Cousens","given":"Simon","non-dropping-particle":"","parse-names":false,"suffix":""},{"dropping-particle":"","family":"Lee","given":"Anne Cc","non-dropping-particle":"","parse-names":false,"suffix":""},{"dropping-particle":"","family":"Black","given":"Robert","non-dropping-particle":"","parse-names":false,"suffix":""},{"dropping-particle":"","family":"Bhutta","given":"Zulfiqar A.","non-dropping-particle":"","parse-names":false,"suffix":""},{"dropping-particle":"","family":"Lawn","given":"Joy E.","non-dropping-particle":"","parse-names":false,"suffix":""}],"container-title":"BMC Public Health","id":"ITEM-1","issue":"SUPPL. 3","issued":{"date-parts":[["2011","4","13"]]},"page":"S13","publisher":"BioMed Central","title":"Effect of case management on neonatal mortality due to sepsis and pneumonia","type":"article","volume":"11"},"uris":["http://www.mendeley.com/documents/?uuid=3b6895cb-e0fc-3f0c-b77b-bac81d0044c2"]}],"mendeley":{"formattedCitation":"(Zaidi &lt;i&gt;et al.&lt;/i&gt;, 2011)","plainTextFormattedCitation":"(Zaidi et al., 2011)","previouslyFormattedCitation":"(Zaidi &lt;i&gt;et al.&lt;/i&gt;, 2011)"},"properties":{"noteIndex":0},"schema":"https://github.com/citation-style-language/schema/raw/master/csl-citation.json"}</w:instrText>
            </w:r>
            <w:r>
              <w:rPr>
                <w:rFonts w:ascii="Calibri" w:hAnsi="Calibri" w:cs="Calibri"/>
                <w:color w:val="000000" w:themeColor="text1"/>
                <w:sz w:val="18"/>
                <w:szCs w:val="18"/>
              </w:rPr>
              <w:fldChar w:fldCharType="separate"/>
            </w:r>
            <w:r w:rsidRPr="00AD087D">
              <w:rPr>
                <w:rFonts w:ascii="Calibri" w:hAnsi="Calibri" w:cs="Calibri"/>
                <w:noProof/>
                <w:color w:val="000000" w:themeColor="text1"/>
                <w:sz w:val="18"/>
                <w:szCs w:val="18"/>
              </w:rPr>
              <w:t xml:space="preserve">(Zaidi </w:t>
            </w:r>
            <w:r w:rsidRPr="00AD087D">
              <w:rPr>
                <w:rFonts w:ascii="Calibri" w:hAnsi="Calibri" w:cs="Calibri"/>
                <w:i/>
                <w:noProof/>
                <w:color w:val="000000" w:themeColor="text1"/>
                <w:sz w:val="18"/>
                <w:szCs w:val="18"/>
              </w:rPr>
              <w:t>et al.</w:t>
            </w:r>
            <w:r w:rsidRPr="00AD087D">
              <w:rPr>
                <w:rFonts w:ascii="Calibri" w:hAnsi="Calibri" w:cs="Calibri"/>
                <w:noProof/>
                <w:color w:val="000000" w:themeColor="text1"/>
                <w:sz w:val="18"/>
                <w:szCs w:val="18"/>
              </w:rPr>
              <w:t>, 2011)</w:t>
            </w:r>
            <w:r>
              <w:rPr>
                <w:rFonts w:ascii="Calibri" w:hAnsi="Calibri" w:cs="Calibri"/>
                <w:color w:val="000000" w:themeColor="text1"/>
                <w:sz w:val="18"/>
                <w:szCs w:val="18"/>
              </w:rPr>
              <w:fldChar w:fldCharType="end"/>
            </w:r>
          </w:p>
        </w:tc>
      </w:tr>
      <w:tr w:rsidR="00AD087D" w:rsidRPr="00F41BE4" w14:paraId="01937BDE" w14:textId="77777777" w:rsidTr="00CB2C37">
        <w:trPr>
          <w:trHeight w:val="288"/>
        </w:trPr>
        <w:tc>
          <w:tcPr>
            <w:tcW w:w="2552" w:type="dxa"/>
            <w:shd w:val="clear" w:color="auto" w:fill="F2F2F2" w:themeFill="background1" w:themeFillShade="F2"/>
            <w:noWrap/>
            <w:hideMark/>
          </w:tcPr>
          <w:p w14:paraId="05C33126"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treatment_effect_cord_care</w:t>
            </w:r>
          </w:p>
        </w:tc>
        <w:tc>
          <w:tcPr>
            <w:tcW w:w="1134" w:type="dxa"/>
            <w:noWrap/>
            <w:hideMark/>
          </w:tcPr>
          <w:p w14:paraId="2C412D7D"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0.77</w:t>
            </w:r>
          </w:p>
        </w:tc>
        <w:tc>
          <w:tcPr>
            <w:tcW w:w="2977" w:type="dxa"/>
            <w:shd w:val="clear" w:color="auto" w:fill="F2F2F2" w:themeFill="background1" w:themeFillShade="F2"/>
          </w:tcPr>
          <w:p w14:paraId="5B7ACE1B"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 effect of chlorhexidine cord care on early onset neonatal sepsis risk</w:t>
            </w:r>
          </w:p>
          <w:p w14:paraId="1141B668" w14:textId="77777777" w:rsidR="00AD087D" w:rsidRPr="001500DF" w:rsidRDefault="00AD087D" w:rsidP="00AD087D">
            <w:pPr>
              <w:rPr>
                <w:rFonts w:ascii="Calibri" w:hAnsi="Calibri" w:cs="Calibri"/>
                <w:color w:val="000000" w:themeColor="text1"/>
                <w:sz w:val="18"/>
                <w:szCs w:val="18"/>
              </w:rPr>
            </w:pPr>
          </w:p>
        </w:tc>
        <w:tc>
          <w:tcPr>
            <w:tcW w:w="2693" w:type="dxa"/>
          </w:tcPr>
          <w:p w14:paraId="20FF6A08" w14:textId="61BC7EAB" w:rsidR="00AD087D" w:rsidRPr="001500DF" w:rsidRDefault="00AD087D" w:rsidP="00AD087D">
            <w:pPr>
              <w:rPr>
                <w:rFonts w:ascii="Calibri" w:hAnsi="Calibri" w:cs="Calibri"/>
                <w:color w:val="000000" w:themeColor="text1"/>
                <w:sz w:val="18"/>
                <w:szCs w:val="18"/>
              </w:rPr>
            </w:pPr>
            <w:r>
              <w:rPr>
                <w:rFonts w:ascii="Calibri" w:hAnsi="Calibri" w:cs="Calibri"/>
                <w:color w:val="000000" w:themeColor="text1"/>
                <w:sz w:val="18"/>
                <w:szCs w:val="18"/>
              </w:rPr>
              <w:fldChar w:fldCharType="begin" w:fldLock="1"/>
            </w:r>
            <w:r>
              <w:rPr>
                <w:rFonts w:ascii="Calibri" w:hAnsi="Calibri" w:cs="Calibri"/>
                <w:color w:val="000000" w:themeColor="text1"/>
                <w:sz w:val="18"/>
                <w:szCs w:val="18"/>
              </w:rPr>
              <w:instrText>ADDIN CSL_CITATION {"citationItems":[{"id":"ITEM-1","itemData":{"DOI":"10.1186/1471-2458-11-S3-S11","ISSN":"14712458","abstract":"Background: Annually over 520,000 newborns die from neonatal sepsis, and 60,000 more from tetanus. Estimates of the effect of clean birth and postnatal care practices are required for evidence-based program planning. Objective. To review the evidence for clean birth and postnatal care practices and estimate the effect on neonatal mortality from sepsis and tetanus for the Lives Saved Tool (LiST). Methods. We conducted a systematic review of multiple databases. Data were abstracted into standard tables and assessed by GRADE criteria. Where appropriate, meta-analyses were undertaken. For interventions with low quality evidence but a strong GRADE recommendation, a Delphi process was conducted. Results: Low quality evidence supports a reduction in all-cause neonatal mortality (19% (95% c.i. 1-34%)), cord infection (30% (95% c.i. 20-39%)) and neonatal tetanus (49% (95% c.i. 35-62%)) with birth attendant handwashing. Very low quality evidence supports a reduction in neonatal tetanus mortality with a clean birth surface (93% (95% c.i. 77-100%)) and no relationship between a clean perineum and tetanus. Low quality evidence supports a reduction of neonatal tetanus with facility birth (68% (95% c.i. 47-88%). No relationship was found between birth place and cord infections or sepsis mortality. For postnatal clean practices, all-cause mortality is reduced with chlorhexidine cord applications in the first 24 hours of life (34% (95% c.i. 5-54%, moderate quality evidence) and antimicrobial cord applications (63% (95% c.i. 41-86%, low quality evidence). One study of postnatal maternal handwashing reported reductions in all-cause mortality (44% (95% c.i. 18-62%)) and cord infection ((24% (95% c.i. 5-40%)). Given the low quality of evidence, a Delphi expert opinion process was undertaken. Thirty experts reached consensus regarding reduction of neonatal sepsis deaths by clean birth practices at home (15% (IQR 10-20)) or in a facility (27% IQR 24-36)), and by clean postnatal care practices (40% (IQR 25-50)). The panel estimated that neonatal tetanus mortality was reduced by clean birth practices at home (30% (IQR(20-30)), or in a facility (38% (IQR 34-40)), and by clean postnatal care practices (40% (IQR 30-50)). Conclusion: According to expert opinion, clean birth and particularly postnatal care practices are effective in reducing neonatal mortality from sepsis and tetanus. Further research is required regarding optimal implementation strategies. © 2011 Blencowe et al; li…","author":[{"dropping-particle":"","family":"Blencowe","given":"Hannah","non-dropping-particle":"","parse-names":false,"suffix":""},{"dropping-particle":"","family":"Cousens","given":"Simon","non-dropping-particle":"","parse-names":false,"suffix":""},{"dropping-particle":"","family":"Mullany","given":"Luke C.","non-dropping-particle":"","parse-names":false,"suffix":""},{"dropping-particle":"","family":"Lee","given":"Anne Cc","non-dropping-particle":"","parse-names":false,"suffix":""},{"dropping-particle":"","family":"Kerber","given":"Kate","non-dropping-particle":"","parse-names":false,"suffix":""},{"dropping-particle":"","family":"Wall","given":"Steve","non-dropping-particle":"","parse-names":false,"suffix":""},{"dropping-particle":"","family":"Darmstadt","given":"Gary L.","non-dropping-particle":"","parse-names":false,"suffix":""},{"dropping-particle":"","family":"Lawn","given":"Joy E.","non-dropping-particle":"","parse-names":false,"suffix":""}],"container-title":"BMC Public Health","id":"ITEM-1","issue":"SUPPL. 3","issued":{"date-parts":[["2011"]]},"page":"S11","publisher":"BioMed Central Ltd","title":"Clean birth and postnatal care practices to reduce neonatal deaths from sepsis and tetanus: A systematic review and Delphi estimation of mortality effect","type":"article-journal","volume":"11"},"uris":["http://www.mendeley.com/documents/?uuid=e660bac3-a1b1-4d8c-ab4c-d1c4f7b183a5"]}],"mendeley":{"formattedCitation":"(Blencowe &lt;i&gt;et al.&lt;/i&gt;, 2011)","plainTextFormattedCitation":"(Blencowe et al., 2011)","previouslyFormattedCitation":"(Blencowe &lt;i&gt;et al.&lt;/i&gt;, 2011)"},"properties":{"noteIndex":0},"schema":"https://github.com/citation-style-language/schema/raw/master/csl-citation.json"}</w:instrText>
            </w:r>
            <w:r>
              <w:rPr>
                <w:rFonts w:ascii="Calibri" w:hAnsi="Calibri" w:cs="Calibri"/>
                <w:color w:val="000000" w:themeColor="text1"/>
                <w:sz w:val="18"/>
                <w:szCs w:val="18"/>
              </w:rPr>
              <w:fldChar w:fldCharType="separate"/>
            </w:r>
            <w:r w:rsidRPr="00AD087D">
              <w:rPr>
                <w:rFonts w:ascii="Calibri" w:hAnsi="Calibri" w:cs="Calibri"/>
                <w:noProof/>
                <w:color w:val="000000" w:themeColor="text1"/>
                <w:sz w:val="18"/>
                <w:szCs w:val="18"/>
              </w:rPr>
              <w:t xml:space="preserve">(Blencowe </w:t>
            </w:r>
            <w:r w:rsidRPr="00AD087D">
              <w:rPr>
                <w:rFonts w:ascii="Calibri" w:hAnsi="Calibri" w:cs="Calibri"/>
                <w:i/>
                <w:noProof/>
                <w:color w:val="000000" w:themeColor="text1"/>
                <w:sz w:val="18"/>
                <w:szCs w:val="18"/>
              </w:rPr>
              <w:t>et al.</w:t>
            </w:r>
            <w:r w:rsidRPr="00AD087D">
              <w:rPr>
                <w:rFonts w:ascii="Calibri" w:hAnsi="Calibri" w:cs="Calibri"/>
                <w:noProof/>
                <w:color w:val="000000" w:themeColor="text1"/>
                <w:sz w:val="18"/>
                <w:szCs w:val="18"/>
              </w:rPr>
              <w:t>, 2011)</w:t>
            </w:r>
            <w:r>
              <w:rPr>
                <w:rFonts w:ascii="Calibri" w:hAnsi="Calibri" w:cs="Calibri"/>
                <w:color w:val="000000" w:themeColor="text1"/>
                <w:sz w:val="18"/>
                <w:szCs w:val="18"/>
              </w:rPr>
              <w:fldChar w:fldCharType="end"/>
            </w:r>
          </w:p>
        </w:tc>
      </w:tr>
      <w:tr w:rsidR="00AD087D" w:rsidRPr="00F41BE4" w14:paraId="26473011" w14:textId="77777777" w:rsidTr="00CB2C37">
        <w:trPr>
          <w:trHeight w:val="288"/>
        </w:trPr>
        <w:tc>
          <w:tcPr>
            <w:tcW w:w="2552" w:type="dxa"/>
            <w:shd w:val="clear" w:color="auto" w:fill="F2F2F2" w:themeFill="background1" w:themeFillShade="F2"/>
            <w:noWrap/>
            <w:hideMark/>
          </w:tcPr>
          <w:p w14:paraId="1203A7A7"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treatment_effect_clean_birth</w:t>
            </w:r>
          </w:p>
        </w:tc>
        <w:tc>
          <w:tcPr>
            <w:tcW w:w="1134" w:type="dxa"/>
            <w:noWrap/>
            <w:hideMark/>
          </w:tcPr>
          <w:p w14:paraId="31436765"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0.73</w:t>
            </w:r>
          </w:p>
        </w:tc>
        <w:tc>
          <w:tcPr>
            <w:tcW w:w="2977" w:type="dxa"/>
            <w:shd w:val="clear" w:color="auto" w:fill="F2F2F2" w:themeFill="background1" w:themeFillShade="F2"/>
          </w:tcPr>
          <w:p w14:paraId="01E255BD"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 effect of clean birth practices on early onset neonatal sepsis risk</w:t>
            </w:r>
          </w:p>
          <w:p w14:paraId="62FFECCB" w14:textId="77777777" w:rsidR="00AD087D" w:rsidRPr="001500DF" w:rsidRDefault="00AD087D" w:rsidP="00AD087D">
            <w:pPr>
              <w:rPr>
                <w:rFonts w:ascii="Calibri" w:hAnsi="Calibri" w:cs="Calibri"/>
                <w:color w:val="000000" w:themeColor="text1"/>
                <w:sz w:val="18"/>
                <w:szCs w:val="18"/>
              </w:rPr>
            </w:pPr>
          </w:p>
        </w:tc>
        <w:tc>
          <w:tcPr>
            <w:tcW w:w="2693" w:type="dxa"/>
          </w:tcPr>
          <w:p w14:paraId="0F2C01A1" w14:textId="2F0E4F1E" w:rsidR="00AD087D" w:rsidRPr="001500DF" w:rsidRDefault="00AD087D" w:rsidP="00AD087D">
            <w:pPr>
              <w:rPr>
                <w:rFonts w:ascii="Calibri" w:hAnsi="Calibri" w:cs="Calibri"/>
                <w:color w:val="000000" w:themeColor="text1"/>
                <w:sz w:val="18"/>
                <w:szCs w:val="18"/>
              </w:rPr>
            </w:pPr>
            <w:r>
              <w:rPr>
                <w:rFonts w:ascii="Calibri" w:hAnsi="Calibri" w:cs="Calibri"/>
                <w:color w:val="000000" w:themeColor="text1"/>
                <w:sz w:val="18"/>
                <w:szCs w:val="18"/>
              </w:rPr>
              <w:fldChar w:fldCharType="begin" w:fldLock="1"/>
            </w:r>
            <w:r>
              <w:rPr>
                <w:rFonts w:ascii="Calibri" w:hAnsi="Calibri" w:cs="Calibri"/>
                <w:color w:val="000000" w:themeColor="text1"/>
                <w:sz w:val="18"/>
                <w:szCs w:val="18"/>
              </w:rPr>
              <w:instrText>ADDIN CSL_CITATION {"citationItems":[{"id":"ITEM-1","itemData":{"DOI":"10.1186/1471-2458-11-S3-S11","ISSN":"14712458","abstract":"Background: Annually over 520,000 newborns die from neonatal sepsis, and 60,000 more from tetanus. Estimates of the effect of clean birth and postnatal care practices are required for evidence-based program planning. Objective. To review the evidence for clean birth and postnatal care practices and estimate the effect on neonatal mortality from sepsis and tetanus for the Lives Saved Tool (LiST). Methods. We conducted a systematic review of multiple databases. Data were abstracted into standard tables and assessed by GRADE criteria. Where appropriate, meta-analyses were undertaken. For interventions with low quality evidence but a strong GRADE recommendation, a Delphi process was conducted. Results: Low quality evidence supports a reduction in all-cause neonatal mortality (19% (95% c.i. 1-34%)), cord infection (30% (95% c.i. 20-39%)) and neonatal tetanus (49% (95% c.i. 35-62%)) with birth attendant handwashing. Very low quality evidence supports a reduction in neonatal tetanus mortality with a clean birth surface (93% (95% c.i. 77-100%)) and no relationship between a clean perineum and tetanus. Low quality evidence supports a reduction of neonatal tetanus with facility birth (68% (95% c.i. 47-88%). No relationship was found between birth place and cord infections or sepsis mortality. For postnatal clean practices, all-cause mortality is reduced with chlorhexidine cord applications in the first 24 hours of life (34% (95% c.i. 5-54%, moderate quality evidence) and antimicrobial cord applications (63% (95% c.i. 41-86%, low quality evidence). One study of postnatal maternal handwashing reported reductions in all-cause mortality (44% (95% c.i. 18-62%)) and cord infection ((24% (95% c.i. 5-40%)). Given the low quality of evidence, a Delphi expert opinion process was undertaken. Thirty experts reached consensus regarding reduction of neonatal sepsis deaths by clean birth practices at home (15% (IQR 10-20)) or in a facility (27% IQR 24-36)), and by clean postnatal care practices (40% (IQR 25-50)). The panel estimated that neonatal tetanus mortality was reduced by clean birth practices at home (30% (IQR(20-30)), or in a facility (38% (IQR 34-40)), and by clean postnatal care practices (40% (IQR 30-50)). Conclusion: According to expert opinion, clean birth and particularly postnatal care practices are effective in reducing neonatal mortality from sepsis and tetanus. Further research is required regarding optimal implementation strategies. © 2011 Blencowe et al; li…","author":[{"dropping-particle":"","family":"Blencowe","given":"Hannah","non-dropping-particle":"","parse-names":false,"suffix":""},{"dropping-particle":"","family":"Cousens","given":"Simon","non-dropping-particle":"","parse-names":false,"suffix":""},{"dropping-particle":"","family":"Mullany","given":"Luke C.","non-dropping-particle":"","parse-names":false,"suffix":""},{"dropping-particle":"","family":"Lee","given":"Anne Cc","non-dropping-particle":"","parse-names":false,"suffix":""},{"dropping-particle":"","family":"Kerber","given":"Kate","non-dropping-particle":"","parse-names":false,"suffix":""},{"dropping-particle":"","family":"Wall","given":"Steve","non-dropping-particle":"","parse-names":false,"suffix":""},{"dropping-particle":"","family":"Darmstadt","given":"Gary L.","non-dropping-particle":"","parse-names":false,"suffix":""},{"dropping-particle":"","family":"Lawn","given":"Joy E.","non-dropping-particle":"","parse-names":false,"suffix":""}],"container-title":"BMC Public Health","id":"ITEM-1","issue":"SUPPL. 3","issued":{"date-parts":[["2011"]]},"page":"S11","publisher":"BioMed Central Ltd","title":"Clean birth and postnatal care practices to reduce neonatal deaths from sepsis and tetanus: A systematic review and Delphi estimation of mortality effect","type":"article-journal","volume":"11"},"uris":["http://www.mendeley.com/documents/?uuid=e660bac3-a1b1-4d8c-ab4c-d1c4f7b183a5"]}],"mendeley":{"formattedCitation":"(Blencowe &lt;i&gt;et al.&lt;/i&gt;, 2011)","plainTextFormattedCitation":"(Blencowe et al., 2011)","previouslyFormattedCitation":"(Blencowe &lt;i&gt;et al.&lt;/i&gt;, 2011)"},"properties":{"noteIndex":0},"schema":"https://github.com/citation-style-language/schema/raw/master/csl-citation.json"}</w:instrText>
            </w:r>
            <w:r>
              <w:rPr>
                <w:rFonts w:ascii="Calibri" w:hAnsi="Calibri" w:cs="Calibri"/>
                <w:color w:val="000000" w:themeColor="text1"/>
                <w:sz w:val="18"/>
                <w:szCs w:val="18"/>
              </w:rPr>
              <w:fldChar w:fldCharType="separate"/>
            </w:r>
            <w:r w:rsidRPr="00AD087D">
              <w:rPr>
                <w:rFonts w:ascii="Calibri" w:hAnsi="Calibri" w:cs="Calibri"/>
                <w:noProof/>
                <w:color w:val="000000" w:themeColor="text1"/>
                <w:sz w:val="18"/>
                <w:szCs w:val="18"/>
              </w:rPr>
              <w:t xml:space="preserve">(Blencowe </w:t>
            </w:r>
            <w:r w:rsidRPr="00AD087D">
              <w:rPr>
                <w:rFonts w:ascii="Calibri" w:hAnsi="Calibri" w:cs="Calibri"/>
                <w:i/>
                <w:noProof/>
                <w:color w:val="000000" w:themeColor="text1"/>
                <w:sz w:val="18"/>
                <w:szCs w:val="18"/>
              </w:rPr>
              <w:t>et al.</w:t>
            </w:r>
            <w:r w:rsidRPr="00AD087D">
              <w:rPr>
                <w:rFonts w:ascii="Calibri" w:hAnsi="Calibri" w:cs="Calibri"/>
                <w:noProof/>
                <w:color w:val="000000" w:themeColor="text1"/>
                <w:sz w:val="18"/>
                <w:szCs w:val="18"/>
              </w:rPr>
              <w:t>, 2011)</w:t>
            </w:r>
            <w:r>
              <w:rPr>
                <w:rFonts w:ascii="Calibri" w:hAnsi="Calibri" w:cs="Calibri"/>
                <w:color w:val="000000" w:themeColor="text1"/>
                <w:sz w:val="18"/>
                <w:szCs w:val="18"/>
              </w:rPr>
              <w:fldChar w:fldCharType="end"/>
            </w:r>
          </w:p>
        </w:tc>
      </w:tr>
      <w:tr w:rsidR="00AD087D" w:rsidRPr="00F41BE4" w14:paraId="3FEC5E76" w14:textId="77777777" w:rsidTr="00CB2C37">
        <w:trPr>
          <w:trHeight w:val="288"/>
        </w:trPr>
        <w:tc>
          <w:tcPr>
            <w:tcW w:w="2552" w:type="dxa"/>
            <w:shd w:val="clear" w:color="auto" w:fill="F2F2F2" w:themeFill="background1" w:themeFillShade="F2"/>
            <w:noWrap/>
            <w:hideMark/>
          </w:tcPr>
          <w:p w14:paraId="140BC6F5"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prob_attend_pnc2</w:t>
            </w:r>
          </w:p>
        </w:tc>
        <w:tc>
          <w:tcPr>
            <w:tcW w:w="1134" w:type="dxa"/>
            <w:noWrap/>
            <w:hideMark/>
          </w:tcPr>
          <w:p w14:paraId="22DC631F"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0.25</w:t>
            </w:r>
          </w:p>
        </w:tc>
        <w:tc>
          <w:tcPr>
            <w:tcW w:w="2977" w:type="dxa"/>
            <w:shd w:val="clear" w:color="auto" w:fill="F2F2F2" w:themeFill="background1" w:themeFillShade="F2"/>
          </w:tcPr>
          <w:p w14:paraId="7BD365FD"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Probability that a woman receiving PNC1 care will return for PNC2 care</w:t>
            </w:r>
          </w:p>
          <w:p w14:paraId="77FC90EB" w14:textId="77777777" w:rsidR="00AD087D" w:rsidRPr="001500DF" w:rsidRDefault="00AD087D" w:rsidP="00AD087D">
            <w:pPr>
              <w:rPr>
                <w:rFonts w:ascii="Calibri" w:hAnsi="Calibri" w:cs="Calibri"/>
                <w:color w:val="000000" w:themeColor="text1"/>
                <w:sz w:val="18"/>
                <w:szCs w:val="18"/>
              </w:rPr>
            </w:pPr>
          </w:p>
        </w:tc>
        <w:tc>
          <w:tcPr>
            <w:tcW w:w="2693" w:type="dxa"/>
          </w:tcPr>
          <w:p w14:paraId="2F508ADF" w14:textId="174B91FB"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4BA8223C" w14:textId="77777777" w:rsidTr="00CB2C37">
        <w:trPr>
          <w:trHeight w:val="288"/>
        </w:trPr>
        <w:tc>
          <w:tcPr>
            <w:tcW w:w="2552" w:type="dxa"/>
            <w:shd w:val="clear" w:color="auto" w:fill="F2F2F2" w:themeFill="background1" w:themeFillShade="F2"/>
            <w:noWrap/>
            <w:hideMark/>
          </w:tcPr>
          <w:p w14:paraId="69F09959"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prob_attend_pnc3</w:t>
            </w:r>
          </w:p>
        </w:tc>
        <w:tc>
          <w:tcPr>
            <w:tcW w:w="1134" w:type="dxa"/>
            <w:noWrap/>
            <w:hideMark/>
          </w:tcPr>
          <w:p w14:paraId="4E37EC48"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0.25</w:t>
            </w:r>
          </w:p>
        </w:tc>
        <w:tc>
          <w:tcPr>
            <w:tcW w:w="2977" w:type="dxa"/>
            <w:shd w:val="clear" w:color="auto" w:fill="F2F2F2" w:themeFill="background1" w:themeFillShade="F2"/>
          </w:tcPr>
          <w:p w14:paraId="52707726"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Probability that a woman receiving PNC2 care will return for PNC3 care</w:t>
            </w:r>
          </w:p>
          <w:p w14:paraId="3F97C359" w14:textId="77777777" w:rsidR="00AD087D" w:rsidRPr="001500DF" w:rsidRDefault="00AD087D" w:rsidP="00AD087D">
            <w:pPr>
              <w:rPr>
                <w:rFonts w:ascii="Calibri" w:hAnsi="Calibri" w:cs="Calibri"/>
                <w:color w:val="000000" w:themeColor="text1"/>
                <w:sz w:val="18"/>
                <w:szCs w:val="18"/>
              </w:rPr>
            </w:pPr>
          </w:p>
        </w:tc>
        <w:tc>
          <w:tcPr>
            <w:tcW w:w="2693" w:type="dxa"/>
          </w:tcPr>
          <w:p w14:paraId="3C2DFF4E" w14:textId="0430B232"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567F6B17" w14:textId="77777777" w:rsidTr="00CB2C37">
        <w:trPr>
          <w:trHeight w:val="288"/>
        </w:trPr>
        <w:tc>
          <w:tcPr>
            <w:tcW w:w="2552" w:type="dxa"/>
            <w:shd w:val="clear" w:color="auto" w:fill="F2F2F2" w:themeFill="background1" w:themeFillShade="F2"/>
            <w:noWrap/>
            <w:hideMark/>
          </w:tcPr>
          <w:p w14:paraId="0C363BE8"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treatment_effect_anti_htns_progression_pn</w:t>
            </w:r>
          </w:p>
        </w:tc>
        <w:tc>
          <w:tcPr>
            <w:tcW w:w="1134" w:type="dxa"/>
            <w:noWrap/>
            <w:hideMark/>
          </w:tcPr>
          <w:p w14:paraId="17A4DA2C"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0.49</w:t>
            </w:r>
          </w:p>
        </w:tc>
        <w:tc>
          <w:tcPr>
            <w:tcW w:w="2977" w:type="dxa"/>
            <w:shd w:val="clear" w:color="auto" w:fill="F2F2F2" w:themeFill="background1" w:themeFillShade="F2"/>
          </w:tcPr>
          <w:p w14:paraId="2A5287E0" w14:textId="641F251B"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 xml:space="preserve">Treatment effect of oral anti hypertensives on progression from </w:t>
            </w:r>
            <w:r>
              <w:rPr>
                <w:rFonts w:ascii="Calibri" w:hAnsi="Calibri" w:cs="Calibri"/>
                <w:color w:val="000000" w:themeColor="text1"/>
                <w:sz w:val="18"/>
                <w:szCs w:val="18"/>
              </w:rPr>
              <w:t xml:space="preserve">mild/mod to severe gestational </w:t>
            </w:r>
            <w:r w:rsidRPr="001500DF">
              <w:rPr>
                <w:rFonts w:ascii="Calibri" w:hAnsi="Calibri" w:cs="Calibri"/>
                <w:color w:val="000000" w:themeColor="text1"/>
                <w:sz w:val="18"/>
                <w:szCs w:val="18"/>
              </w:rPr>
              <w:t>hypertension</w:t>
            </w:r>
          </w:p>
          <w:p w14:paraId="3B337790" w14:textId="77777777" w:rsidR="00AD087D" w:rsidRPr="001500DF" w:rsidRDefault="00AD087D" w:rsidP="00AD087D">
            <w:pPr>
              <w:rPr>
                <w:rFonts w:ascii="Calibri" w:hAnsi="Calibri" w:cs="Calibri"/>
                <w:color w:val="000000" w:themeColor="text1"/>
                <w:sz w:val="18"/>
                <w:szCs w:val="18"/>
              </w:rPr>
            </w:pPr>
          </w:p>
        </w:tc>
        <w:tc>
          <w:tcPr>
            <w:tcW w:w="2693" w:type="dxa"/>
          </w:tcPr>
          <w:p w14:paraId="407EAB53" w14:textId="0BABBB9D" w:rsidR="00AD087D" w:rsidRPr="001500DF" w:rsidRDefault="00AD087D" w:rsidP="00AD087D">
            <w:pPr>
              <w:rPr>
                <w:rFonts w:ascii="Calibri" w:hAnsi="Calibri" w:cs="Calibri"/>
                <w:color w:val="000000" w:themeColor="text1"/>
                <w:sz w:val="18"/>
                <w:szCs w:val="18"/>
              </w:rPr>
            </w:pPr>
            <w:r>
              <w:rPr>
                <w:rFonts w:ascii="Calibri" w:hAnsi="Calibri" w:cs="Calibri"/>
                <w:color w:val="000000" w:themeColor="text1"/>
                <w:sz w:val="18"/>
                <w:szCs w:val="18"/>
              </w:rPr>
              <w:fldChar w:fldCharType="begin" w:fldLock="1"/>
            </w:r>
            <w:r>
              <w:rPr>
                <w:rFonts w:ascii="Calibri" w:hAnsi="Calibri" w:cs="Calibri"/>
                <w:color w:val="000000" w:themeColor="text1"/>
                <w:sz w:val="18"/>
                <w:szCs w:val="18"/>
              </w:rPr>
              <w:instrText>ADDIN CSL_CITATION {"citationItems":[{"id":"ITEM-1","itemData":{"DOI":"10.1002/14651858.CD002252.pub4","ISSN":"14651858","abstract":"Background: Mild to moderate hypertension during pregnancy is common. Antihypertensive drugs are often used in the belief that lowering blood pressure will prevent progression to more severe disease, and thereby improve outcome. Objectives: To assess the effects of antihypertensive drug treatments for women with mild to moderate hypertension during pregnancy. Search strategy: We searched the Cochrane Pregnancy and Childbirth Group's Trials Register (March 2006), the Cochrane Central Register of Controlled Trials (The Cochrane Library 2005, Issue 3), MEDLINE (1966 to November 2005), LILACS (1984 to November 2005) and EMBASE (1974 to November 2005). Selection criteria: All randomised trials evaluating any antihypertensive drug treatment for mild to moderate hypertension during pregnancy defined, whenever possible, as systolic blood pressure 140 to 169 mmHg and diastolic blood pressure 90 to 109 mmHg. Comparisons were of one or more antihypertensive drug(s) with placebo, with no antihypertensive drug, or with another antihypertensive drug, and where treatment was planned to continue for at least seven days. Data collection and analysis: Two review authors independently extracted data. Main results: Forty-six trials (4282 women) were included. Twenty-eight trials compared an antihypertensive drug with placebo/no antihypertensive drug (3200 women). There is a halving in the risk of developing severe hypertension associated with the use of antihypertensive drug(s) (19 trials, 2409 women; relative risk (RR) 0.50; 95% confidence interval (CI) 0.41 to 0.61; risk difference (RD) -0.10 (-0.12 to -0.07); number needed to treat (NNT) 10 (8 to 13)) but little evidence of a difference in the risk of pre-eclampsia (22 trials, 2702 women; RR 0.97; 95% CI 0.83 to 1.13). Similarly, there is no clear effect on the risk of the baby dying (26 trials, 3081 women; RR 0.73; 95% CI 0.50 to 1.08), preterm birth (14 trials, 1992 women; RR 1.02; 95 % CI 0.89 to 1.16), or small-for-gestational-age babies (19 trials, 2437 women; RR 1.04; 95 % CI 0.84 to 1.27). There were no clear differences in any other outcomes. Nineteen trials (1282 women) compared one antihypertensive drug with another. Beta blockers seem better than methyldopa for reducing the risk of severe hypertension (10 trials, 539 women, RR 0.75 (95 % CI 0.59 to 0.94); RD -0.08 (-0.14 to 0.02); NNT 12 (6 to 275)). There is no clear difference between any of the alternative drugs in the risk of developing proteinuria/pre- e…","author":[{"dropping-particle":"","family":"Abalos","given":"Edgardo","non-dropping-particle":"","parse-names":false,"suffix":""},{"dropping-particle":"","family":"Duley","given":"Lelia","non-dropping-particle":"","parse-names":false,"suffix":""},{"dropping-particle":"","family":"Steyn","given":"D. Wilhelm","non-dropping-particle":"","parse-names":false,"suffix":""},{"dropping-particle":"","family":"Gialdini","given":"Celina","non-dropping-particle":"","parse-names":false,"suffix":""}],"container-title":"Cochrane Database of Systematic Reviews","id":"ITEM-1","issue":"10","issued":{"date-parts":[["2018","10","1"]]},"publisher":"John Wiley and Sons Ltd","title":"Antihypertensive drug therapy for mild to moderate hypertension during pregnancy","type":"article-journal","volume":"2018"},"uris":["http://www.mendeley.com/documents/?uuid=3ab8064e-64ec-3ed6-bbc3-72d7ab50d158"]}],"mendeley":{"formattedCitation":"(Abalos &lt;i&gt;et al.&lt;/i&gt;, 2018b)","plainTextFormattedCitation":"(Abalos et al., 2018b)","previouslyFormattedCitation":"(Abalos &lt;i&gt;et al.&lt;/i&gt;, 2018b)"},"properties":{"noteIndex":0},"schema":"https://github.com/citation-style-language/schema/raw/master/csl-citation.json"}</w:instrText>
            </w:r>
            <w:r>
              <w:rPr>
                <w:rFonts w:ascii="Calibri" w:hAnsi="Calibri" w:cs="Calibri"/>
                <w:color w:val="000000" w:themeColor="text1"/>
                <w:sz w:val="18"/>
                <w:szCs w:val="18"/>
              </w:rPr>
              <w:fldChar w:fldCharType="separate"/>
            </w:r>
            <w:r w:rsidRPr="00AD087D">
              <w:rPr>
                <w:rFonts w:ascii="Calibri" w:hAnsi="Calibri" w:cs="Calibri"/>
                <w:noProof/>
                <w:color w:val="000000" w:themeColor="text1"/>
                <w:sz w:val="18"/>
                <w:szCs w:val="18"/>
              </w:rPr>
              <w:t xml:space="preserve">(Abalos </w:t>
            </w:r>
            <w:r w:rsidRPr="00AD087D">
              <w:rPr>
                <w:rFonts w:ascii="Calibri" w:hAnsi="Calibri" w:cs="Calibri"/>
                <w:i/>
                <w:noProof/>
                <w:color w:val="000000" w:themeColor="text1"/>
                <w:sz w:val="18"/>
                <w:szCs w:val="18"/>
              </w:rPr>
              <w:t>et al.</w:t>
            </w:r>
            <w:r w:rsidRPr="00AD087D">
              <w:rPr>
                <w:rFonts w:ascii="Calibri" w:hAnsi="Calibri" w:cs="Calibri"/>
                <w:noProof/>
                <w:color w:val="000000" w:themeColor="text1"/>
                <w:sz w:val="18"/>
                <w:szCs w:val="18"/>
              </w:rPr>
              <w:t>, 2018b)</w:t>
            </w:r>
            <w:r>
              <w:rPr>
                <w:rFonts w:ascii="Calibri" w:hAnsi="Calibri" w:cs="Calibri"/>
                <w:color w:val="000000" w:themeColor="text1"/>
                <w:sz w:val="18"/>
                <w:szCs w:val="18"/>
              </w:rPr>
              <w:fldChar w:fldCharType="end"/>
            </w:r>
          </w:p>
        </w:tc>
      </w:tr>
      <w:tr w:rsidR="00AD087D" w:rsidRPr="00F41BE4" w14:paraId="1119FD95" w14:textId="77777777" w:rsidTr="00CB2C37">
        <w:trPr>
          <w:trHeight w:val="288"/>
        </w:trPr>
        <w:tc>
          <w:tcPr>
            <w:tcW w:w="2552" w:type="dxa"/>
            <w:shd w:val="clear" w:color="auto" w:fill="F2F2F2" w:themeFill="background1" w:themeFillShade="F2"/>
            <w:noWrap/>
            <w:hideMark/>
          </w:tcPr>
          <w:p w14:paraId="713C2652"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treatment_effect_parenteral_antibiotics</w:t>
            </w:r>
          </w:p>
        </w:tc>
        <w:tc>
          <w:tcPr>
            <w:tcW w:w="1134" w:type="dxa"/>
            <w:noWrap/>
            <w:hideMark/>
          </w:tcPr>
          <w:p w14:paraId="2B97173E"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0.2</w:t>
            </w:r>
          </w:p>
        </w:tc>
        <w:tc>
          <w:tcPr>
            <w:tcW w:w="2977" w:type="dxa"/>
            <w:shd w:val="clear" w:color="auto" w:fill="F2F2F2" w:themeFill="background1" w:themeFillShade="F2"/>
          </w:tcPr>
          <w:p w14:paraId="5E637E50"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 effect of parenteral antibiotics on maternal sepsis mortality</w:t>
            </w:r>
          </w:p>
          <w:p w14:paraId="29F1A645" w14:textId="77777777" w:rsidR="00AD087D" w:rsidRPr="001500DF" w:rsidRDefault="00AD087D" w:rsidP="00AD087D">
            <w:pPr>
              <w:rPr>
                <w:rFonts w:ascii="Calibri" w:hAnsi="Calibri" w:cs="Calibri"/>
                <w:color w:val="000000" w:themeColor="text1"/>
                <w:sz w:val="18"/>
                <w:szCs w:val="18"/>
              </w:rPr>
            </w:pPr>
          </w:p>
        </w:tc>
        <w:tc>
          <w:tcPr>
            <w:tcW w:w="2693" w:type="dxa"/>
          </w:tcPr>
          <w:p w14:paraId="36846B6D" w14:textId="319E9942" w:rsidR="00AD087D" w:rsidRPr="001500DF" w:rsidRDefault="00AD087D" w:rsidP="00AD087D">
            <w:pPr>
              <w:rPr>
                <w:rFonts w:ascii="Calibri" w:hAnsi="Calibri" w:cs="Calibri"/>
                <w:color w:val="000000" w:themeColor="text1"/>
                <w:sz w:val="18"/>
                <w:szCs w:val="18"/>
              </w:rPr>
            </w:pPr>
            <w:r>
              <w:rPr>
                <w:rFonts w:ascii="Calibri" w:hAnsi="Calibri" w:cs="Calibri"/>
                <w:color w:val="000000" w:themeColor="text1"/>
                <w:sz w:val="18"/>
                <w:szCs w:val="18"/>
              </w:rPr>
              <w:fldChar w:fldCharType="begin" w:fldLock="1"/>
            </w:r>
            <w:r w:rsidR="002A34FD">
              <w:rPr>
                <w:rFonts w:ascii="Calibri" w:hAnsi="Calibri" w:cs="Calibri"/>
                <w:color w:val="000000" w:themeColor="text1"/>
                <w:sz w:val="18"/>
                <w:szCs w:val="18"/>
              </w:rP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2013a)","plainTextFormattedCitation":"(Pollard, Mathai and Walker, 2013a)","previouslyFormattedCitation":"(Pollard, Mathai and Walker, 2013a)"},"properties":{"noteIndex":0},"schema":"https://github.com/citation-style-language/schema/raw/master/csl-citation.json"}</w:instrText>
            </w:r>
            <w:r>
              <w:rPr>
                <w:rFonts w:ascii="Calibri" w:hAnsi="Calibri" w:cs="Calibri"/>
                <w:color w:val="000000" w:themeColor="text1"/>
                <w:sz w:val="18"/>
                <w:szCs w:val="18"/>
              </w:rPr>
              <w:fldChar w:fldCharType="separate"/>
            </w:r>
            <w:r w:rsidRPr="00AD087D">
              <w:rPr>
                <w:rFonts w:ascii="Calibri" w:hAnsi="Calibri" w:cs="Calibri"/>
                <w:noProof/>
                <w:color w:val="000000" w:themeColor="text1"/>
                <w:sz w:val="18"/>
                <w:szCs w:val="18"/>
              </w:rPr>
              <w:t>(Pollard, Mathai and Walker, 2013a)</w:t>
            </w:r>
            <w:r>
              <w:rPr>
                <w:rFonts w:ascii="Calibri" w:hAnsi="Calibri" w:cs="Calibri"/>
                <w:color w:val="000000" w:themeColor="text1"/>
                <w:sz w:val="18"/>
                <w:szCs w:val="18"/>
              </w:rPr>
              <w:fldChar w:fldCharType="end"/>
            </w:r>
          </w:p>
        </w:tc>
      </w:tr>
      <w:tr w:rsidR="00AD087D" w:rsidRPr="00F41BE4" w14:paraId="160C8E6F" w14:textId="77777777" w:rsidTr="00CB2C37">
        <w:trPr>
          <w:trHeight w:val="288"/>
        </w:trPr>
        <w:tc>
          <w:tcPr>
            <w:tcW w:w="2552" w:type="dxa"/>
            <w:shd w:val="clear" w:color="auto" w:fill="F2F2F2" w:themeFill="background1" w:themeFillShade="F2"/>
            <w:noWrap/>
            <w:hideMark/>
          </w:tcPr>
          <w:p w14:paraId="2D21ED76"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treatment_effect_bemonc_care_pph</w:t>
            </w:r>
          </w:p>
        </w:tc>
        <w:tc>
          <w:tcPr>
            <w:tcW w:w="1134" w:type="dxa"/>
            <w:noWrap/>
            <w:hideMark/>
          </w:tcPr>
          <w:p w14:paraId="099F816A"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0.25</w:t>
            </w:r>
          </w:p>
        </w:tc>
        <w:tc>
          <w:tcPr>
            <w:tcW w:w="2977" w:type="dxa"/>
            <w:shd w:val="clear" w:color="auto" w:fill="F2F2F2" w:themeFill="background1" w:themeFillShade="F2"/>
          </w:tcPr>
          <w:p w14:paraId="4734862A"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 effect of BEmONC care on postpartum haemorrhage mortality</w:t>
            </w:r>
          </w:p>
          <w:p w14:paraId="450BDE1C" w14:textId="77777777" w:rsidR="00AD087D" w:rsidRPr="001500DF" w:rsidRDefault="00AD087D" w:rsidP="00AD087D">
            <w:pPr>
              <w:rPr>
                <w:rFonts w:ascii="Calibri" w:hAnsi="Calibri" w:cs="Calibri"/>
                <w:color w:val="000000" w:themeColor="text1"/>
                <w:sz w:val="18"/>
                <w:szCs w:val="18"/>
              </w:rPr>
            </w:pPr>
          </w:p>
        </w:tc>
        <w:tc>
          <w:tcPr>
            <w:tcW w:w="2693" w:type="dxa"/>
          </w:tcPr>
          <w:p w14:paraId="7354C4BD" w14:textId="4B0E13EF" w:rsidR="00AD087D" w:rsidRPr="001500DF" w:rsidRDefault="00AD087D" w:rsidP="00AD087D">
            <w:pPr>
              <w:rPr>
                <w:rFonts w:ascii="Calibri" w:hAnsi="Calibri" w:cs="Calibri"/>
                <w:color w:val="000000" w:themeColor="text1"/>
                <w:sz w:val="18"/>
                <w:szCs w:val="18"/>
              </w:rPr>
            </w:pPr>
            <w:r>
              <w:rPr>
                <w:rFonts w:ascii="Calibri" w:hAnsi="Calibri" w:cs="Calibri"/>
                <w:color w:val="000000" w:themeColor="text1"/>
                <w:sz w:val="18"/>
                <w:szCs w:val="18"/>
              </w:rPr>
              <w:fldChar w:fldCharType="begin" w:fldLock="1"/>
            </w:r>
            <w:r w:rsidR="002A34FD">
              <w:rPr>
                <w:rFonts w:ascii="Calibri" w:hAnsi="Calibri" w:cs="Calibri"/>
                <w:color w:val="000000" w:themeColor="text1"/>
                <w:sz w:val="18"/>
                <w:szCs w:val="18"/>
              </w:rP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2013a)","plainTextFormattedCitation":"(Pollard, Mathai and Walker, 2013a)","previouslyFormattedCitation":"(Pollard, Mathai and Walker, 2013a)"},"properties":{"noteIndex":0},"schema":"https://github.com/citation-style-language/schema/raw/master/csl-citation.json"}</w:instrText>
            </w:r>
            <w:r>
              <w:rPr>
                <w:rFonts w:ascii="Calibri" w:hAnsi="Calibri" w:cs="Calibri"/>
                <w:color w:val="000000" w:themeColor="text1"/>
                <w:sz w:val="18"/>
                <w:szCs w:val="18"/>
              </w:rPr>
              <w:fldChar w:fldCharType="separate"/>
            </w:r>
            <w:r w:rsidRPr="00AD087D">
              <w:rPr>
                <w:rFonts w:ascii="Calibri" w:hAnsi="Calibri" w:cs="Calibri"/>
                <w:noProof/>
                <w:color w:val="000000" w:themeColor="text1"/>
                <w:sz w:val="18"/>
                <w:szCs w:val="18"/>
              </w:rPr>
              <w:t>(Pollard, Mathai and Walker, 2013a)</w:t>
            </w:r>
            <w:r>
              <w:rPr>
                <w:rFonts w:ascii="Calibri" w:hAnsi="Calibri" w:cs="Calibri"/>
                <w:color w:val="000000" w:themeColor="text1"/>
                <w:sz w:val="18"/>
                <w:szCs w:val="18"/>
              </w:rPr>
              <w:fldChar w:fldCharType="end"/>
            </w:r>
          </w:p>
        </w:tc>
      </w:tr>
      <w:tr w:rsidR="00AD087D" w:rsidRPr="00F41BE4" w14:paraId="433933D5" w14:textId="77777777" w:rsidTr="00CB2C37">
        <w:trPr>
          <w:trHeight w:val="288"/>
        </w:trPr>
        <w:tc>
          <w:tcPr>
            <w:tcW w:w="2552" w:type="dxa"/>
            <w:shd w:val="clear" w:color="auto" w:fill="F2F2F2" w:themeFill="background1" w:themeFillShade="F2"/>
            <w:noWrap/>
            <w:hideMark/>
          </w:tcPr>
          <w:p w14:paraId="7AC0F0E4"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treatment_effect_anti_htns</w:t>
            </w:r>
          </w:p>
        </w:tc>
        <w:tc>
          <w:tcPr>
            <w:tcW w:w="1134" w:type="dxa"/>
            <w:noWrap/>
            <w:hideMark/>
          </w:tcPr>
          <w:p w14:paraId="56E66059"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0.5</w:t>
            </w:r>
          </w:p>
        </w:tc>
        <w:tc>
          <w:tcPr>
            <w:tcW w:w="2977" w:type="dxa"/>
            <w:shd w:val="clear" w:color="auto" w:fill="F2F2F2" w:themeFill="background1" w:themeFillShade="F2"/>
          </w:tcPr>
          <w:p w14:paraId="5F0B2A8B"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 effect of hypertensive therapy on death from eclampsia</w:t>
            </w:r>
          </w:p>
          <w:p w14:paraId="4A6C0C22" w14:textId="77777777" w:rsidR="00AD087D" w:rsidRPr="001500DF" w:rsidRDefault="00AD087D" w:rsidP="00AD087D">
            <w:pPr>
              <w:rPr>
                <w:rFonts w:ascii="Calibri" w:hAnsi="Calibri" w:cs="Calibri"/>
                <w:color w:val="000000" w:themeColor="text1"/>
                <w:sz w:val="18"/>
                <w:szCs w:val="18"/>
              </w:rPr>
            </w:pPr>
          </w:p>
        </w:tc>
        <w:tc>
          <w:tcPr>
            <w:tcW w:w="2693" w:type="dxa"/>
          </w:tcPr>
          <w:p w14:paraId="2E1A54F0" w14:textId="4D68F95F" w:rsidR="00AD087D" w:rsidRPr="001500DF" w:rsidRDefault="00AD087D" w:rsidP="00AD087D">
            <w:pPr>
              <w:rPr>
                <w:rFonts w:ascii="Calibri" w:hAnsi="Calibri" w:cs="Calibri"/>
                <w:color w:val="000000" w:themeColor="text1"/>
                <w:sz w:val="18"/>
                <w:szCs w:val="18"/>
              </w:rPr>
            </w:pPr>
            <w:r>
              <w:rPr>
                <w:rFonts w:ascii="Calibri" w:hAnsi="Calibri" w:cs="Calibri"/>
                <w:color w:val="000000" w:themeColor="text1"/>
                <w:sz w:val="18"/>
                <w:szCs w:val="18"/>
              </w:rPr>
              <w:fldChar w:fldCharType="begin" w:fldLock="1"/>
            </w:r>
            <w:r w:rsidR="002A34FD">
              <w:rPr>
                <w:rFonts w:ascii="Calibri" w:hAnsi="Calibri" w:cs="Calibri"/>
                <w:color w:val="000000" w:themeColor="text1"/>
                <w:sz w:val="18"/>
                <w:szCs w:val="18"/>
              </w:rP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2013a)","plainTextFormattedCitation":"(Pollard, Mathai and Walker, 2013a)","previouslyFormattedCitation":"(Pollard, Mathai and Walker, 2013a)"},"properties":{"noteIndex":0},"schema":"https://github.com/citation-style-language/schema/raw/master/csl-citation.json"}</w:instrText>
            </w:r>
            <w:r>
              <w:rPr>
                <w:rFonts w:ascii="Calibri" w:hAnsi="Calibri" w:cs="Calibri"/>
                <w:color w:val="000000" w:themeColor="text1"/>
                <w:sz w:val="18"/>
                <w:szCs w:val="18"/>
              </w:rPr>
              <w:fldChar w:fldCharType="separate"/>
            </w:r>
            <w:r w:rsidRPr="00AD087D">
              <w:rPr>
                <w:rFonts w:ascii="Calibri" w:hAnsi="Calibri" w:cs="Calibri"/>
                <w:noProof/>
                <w:color w:val="000000" w:themeColor="text1"/>
                <w:sz w:val="18"/>
                <w:szCs w:val="18"/>
              </w:rPr>
              <w:t>(Pollard, Mathai and Walker, 2013a)</w:t>
            </w:r>
            <w:r>
              <w:rPr>
                <w:rFonts w:ascii="Calibri" w:hAnsi="Calibri" w:cs="Calibri"/>
                <w:color w:val="000000" w:themeColor="text1"/>
                <w:sz w:val="18"/>
                <w:szCs w:val="18"/>
              </w:rPr>
              <w:fldChar w:fldCharType="end"/>
            </w:r>
          </w:p>
        </w:tc>
      </w:tr>
      <w:tr w:rsidR="00AD087D" w:rsidRPr="00F41BE4" w14:paraId="153C8182" w14:textId="77777777" w:rsidTr="00CB2C37">
        <w:trPr>
          <w:trHeight w:val="288"/>
        </w:trPr>
        <w:tc>
          <w:tcPr>
            <w:tcW w:w="2552" w:type="dxa"/>
            <w:shd w:val="clear" w:color="auto" w:fill="F2F2F2" w:themeFill="background1" w:themeFillShade="F2"/>
            <w:noWrap/>
            <w:hideMark/>
          </w:tcPr>
          <w:p w14:paraId="04865883"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treatment_effect_mag_sulph</w:t>
            </w:r>
          </w:p>
        </w:tc>
        <w:tc>
          <w:tcPr>
            <w:tcW w:w="1134" w:type="dxa"/>
            <w:noWrap/>
            <w:hideMark/>
          </w:tcPr>
          <w:p w14:paraId="30FE3CCF"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0.4</w:t>
            </w:r>
          </w:p>
        </w:tc>
        <w:tc>
          <w:tcPr>
            <w:tcW w:w="2977" w:type="dxa"/>
            <w:shd w:val="clear" w:color="auto" w:fill="F2F2F2" w:themeFill="background1" w:themeFillShade="F2"/>
          </w:tcPr>
          <w:p w14:paraId="246F92EA"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 effect of magnesium sulphate therapy on death from eclampsia</w:t>
            </w:r>
          </w:p>
          <w:p w14:paraId="6763D9F2" w14:textId="77777777" w:rsidR="00AD087D" w:rsidRPr="001500DF" w:rsidRDefault="00AD087D" w:rsidP="00AD087D">
            <w:pPr>
              <w:rPr>
                <w:rFonts w:ascii="Calibri" w:hAnsi="Calibri" w:cs="Calibri"/>
                <w:color w:val="000000" w:themeColor="text1"/>
                <w:sz w:val="18"/>
                <w:szCs w:val="18"/>
              </w:rPr>
            </w:pPr>
          </w:p>
        </w:tc>
        <w:tc>
          <w:tcPr>
            <w:tcW w:w="2693" w:type="dxa"/>
          </w:tcPr>
          <w:p w14:paraId="7CAD08EE" w14:textId="1DCEA277" w:rsidR="00AD087D" w:rsidRPr="001500DF" w:rsidRDefault="00AD087D" w:rsidP="00AD087D">
            <w:pPr>
              <w:rPr>
                <w:rFonts w:ascii="Calibri" w:hAnsi="Calibri" w:cs="Calibri"/>
                <w:color w:val="000000" w:themeColor="text1"/>
                <w:sz w:val="18"/>
                <w:szCs w:val="18"/>
              </w:rPr>
            </w:pPr>
            <w:r>
              <w:rPr>
                <w:rFonts w:ascii="Calibri" w:hAnsi="Calibri" w:cs="Calibri"/>
                <w:color w:val="000000" w:themeColor="text1"/>
                <w:sz w:val="18"/>
                <w:szCs w:val="18"/>
              </w:rPr>
              <w:fldChar w:fldCharType="begin" w:fldLock="1"/>
            </w:r>
            <w:r w:rsidR="002A34FD">
              <w:rPr>
                <w:rFonts w:ascii="Calibri" w:hAnsi="Calibri" w:cs="Calibri"/>
                <w:color w:val="000000" w:themeColor="text1"/>
                <w:sz w:val="18"/>
                <w:szCs w:val="18"/>
              </w:rP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2013a)","plainTextFormattedCitation":"(Pollard, Mathai and Walker, 2013a)","previouslyFormattedCitation":"(Pollard, Mathai and Walker, 2013a)"},"properties":{"noteIndex":0},"schema":"https://github.com/citation-style-language/schema/raw/master/csl-citation.json"}</w:instrText>
            </w:r>
            <w:r>
              <w:rPr>
                <w:rFonts w:ascii="Calibri" w:hAnsi="Calibri" w:cs="Calibri"/>
                <w:color w:val="000000" w:themeColor="text1"/>
                <w:sz w:val="18"/>
                <w:szCs w:val="18"/>
              </w:rPr>
              <w:fldChar w:fldCharType="separate"/>
            </w:r>
            <w:r w:rsidRPr="00AD087D">
              <w:rPr>
                <w:rFonts w:ascii="Calibri" w:hAnsi="Calibri" w:cs="Calibri"/>
                <w:noProof/>
                <w:color w:val="000000" w:themeColor="text1"/>
                <w:sz w:val="18"/>
                <w:szCs w:val="18"/>
              </w:rPr>
              <w:t>(Pollard, Mathai and Walker, 2013a)</w:t>
            </w:r>
            <w:r>
              <w:rPr>
                <w:rFonts w:ascii="Calibri" w:hAnsi="Calibri" w:cs="Calibri"/>
                <w:color w:val="000000" w:themeColor="text1"/>
                <w:sz w:val="18"/>
                <w:szCs w:val="18"/>
              </w:rPr>
              <w:fldChar w:fldCharType="end"/>
            </w:r>
          </w:p>
        </w:tc>
      </w:tr>
      <w:tr w:rsidR="00AD087D" w:rsidRPr="00F41BE4" w14:paraId="294E7C45" w14:textId="77777777" w:rsidTr="00CB2C37">
        <w:trPr>
          <w:trHeight w:val="288"/>
        </w:trPr>
        <w:tc>
          <w:tcPr>
            <w:tcW w:w="2552" w:type="dxa"/>
            <w:shd w:val="clear" w:color="auto" w:fill="F2F2F2" w:themeFill="background1" w:themeFillShade="F2"/>
            <w:noWrap/>
            <w:hideMark/>
          </w:tcPr>
          <w:p w14:paraId="4D411332" w14:textId="77777777" w:rsidR="00AD087D"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neonatal_sepsis_treatment_effect</w:t>
            </w:r>
          </w:p>
          <w:p w14:paraId="548A3D21" w14:textId="77777777" w:rsidR="00AD087D" w:rsidRPr="001500DF" w:rsidRDefault="00AD087D" w:rsidP="00AD087D">
            <w:pPr>
              <w:rPr>
                <w:rFonts w:ascii="Calibri" w:hAnsi="Calibri" w:cs="Calibri"/>
                <w:color w:val="000000" w:themeColor="text1"/>
                <w:sz w:val="18"/>
                <w:szCs w:val="18"/>
              </w:rPr>
            </w:pPr>
          </w:p>
        </w:tc>
        <w:tc>
          <w:tcPr>
            <w:tcW w:w="1134" w:type="dxa"/>
            <w:noWrap/>
            <w:hideMark/>
          </w:tcPr>
          <w:p w14:paraId="5657FE44"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0.2</w:t>
            </w:r>
          </w:p>
        </w:tc>
        <w:tc>
          <w:tcPr>
            <w:tcW w:w="2977" w:type="dxa"/>
            <w:shd w:val="clear" w:color="auto" w:fill="F2F2F2" w:themeFill="background1" w:themeFillShade="F2"/>
          </w:tcPr>
          <w:p w14:paraId="08C26A65"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Treatment effect for neonatal sepsis</w:t>
            </w:r>
          </w:p>
          <w:p w14:paraId="2578698D" w14:textId="77777777" w:rsidR="00AD087D" w:rsidRPr="001500DF" w:rsidRDefault="00AD087D" w:rsidP="00AD087D">
            <w:pPr>
              <w:rPr>
                <w:rFonts w:ascii="Calibri" w:hAnsi="Calibri" w:cs="Calibri"/>
                <w:color w:val="000000" w:themeColor="text1"/>
                <w:sz w:val="18"/>
                <w:szCs w:val="18"/>
              </w:rPr>
            </w:pPr>
          </w:p>
        </w:tc>
        <w:tc>
          <w:tcPr>
            <w:tcW w:w="2693" w:type="dxa"/>
          </w:tcPr>
          <w:p w14:paraId="17761D4B" w14:textId="0BB1C2F6" w:rsidR="00AD087D" w:rsidRPr="001500DF" w:rsidRDefault="00AD087D" w:rsidP="00AD087D">
            <w:pPr>
              <w:rPr>
                <w:rFonts w:ascii="Calibri" w:hAnsi="Calibri" w:cs="Calibri"/>
                <w:color w:val="000000" w:themeColor="text1"/>
                <w:sz w:val="18"/>
                <w:szCs w:val="18"/>
              </w:rPr>
            </w:pPr>
            <w:r>
              <w:rPr>
                <w:rFonts w:ascii="Calibri" w:hAnsi="Calibri" w:cs="Calibri"/>
                <w:color w:val="000000" w:themeColor="text1"/>
                <w:sz w:val="18"/>
                <w:szCs w:val="18"/>
              </w:rPr>
              <w:fldChar w:fldCharType="begin" w:fldLock="1"/>
            </w:r>
            <w:r>
              <w:rPr>
                <w:rFonts w:ascii="Calibri" w:hAnsi="Calibri" w:cs="Calibri"/>
                <w:color w:val="000000" w:themeColor="text1"/>
                <w:sz w:val="18"/>
                <w:szCs w:val="18"/>
              </w:rPr>
              <w:instrText>ADDIN CSL_CITATION {"citationItems":[{"id":"ITEM-1","itemData":{"DOI":"10.1186/1471-2458-11-S3-S13","ISSN":"14712458","PMID":"21501430","abstract":"Background: Each year almost one million newborns die from infections, mostly in low-income countries. Timely case management would save many lives but the relative mortality effect of varying strategies is unknown. We have estimated the effect of providing oral, or injectable antibiotics at home or in first-level facilities, and of in-patient hospital care on neonatal mortality from pneumonia and sepsis for use in the Lives Saved Tool (LiST). Methods. We conducted systematic searches of multiple databases to identify relevant studies with mortality data. Standardized abstraction tables were used and study quality assessed by adapted GRADE criteria. Meta-analyses were undertaken where appropriate. For interventions with biological plausibility but low quality evidence, a Delphi process was undertaken to estimate effectiveness. Results: Searches of 2876 titles identified 7 studies. Among these, 4 evaluated oral antibiotics for neonatal pneumonia in non-randomised, concurrently controlled designs. Meta-analysis suggested reductions in all-cause neonatal mortality (RR 0.75 95% CI 0.64- 0.89; 4 studies) and neonatal pneumonia-specific mortality (RR 0.58 95% CI 0.41- 0.82; 3 studies). Two studies (1 RCT, 1 observational study), evaluated community-based neonatal care packages including injectable antibiotics and reported mortality reductions of 44% (RR= 0.56, 95% CI 0.41-0.77) and 34% (RR =0.66, 95% CI 0.47-0.93), but the interpretation of these results is complicated by co-interventions. A third, clinic-based, study reported a case-fatality ratio of 3.3% among neonates treated with injectable antibiotics as outpatients. No studies were identified evaluating injectable antibiotics alone for neonatal pneumonia. Delphi consensus (median from 20 respondents) effects on sepsis-specific mortality were 30% reduction for oral antibiotics, 65% for injectable antibiotics and 75% for injectable antibiotics on pneumonia-specific mortality. No trials were identified assessing effect of hospital management for neonatal infections and Delphi consensus suggested 80%, and 90% reductions for sepsis and pneumonia-specific mortality respectively. Conclusion: Oral antibiotics administered in the community are effective for neonatal pneumonia mortality reduction based on a meta-analysis, but expert opinion suggests much higher impact from injectable antibiotics in the community or primary care level and even higher for facility-based care. Despite feasibility and low cost, these…","author":[{"dropping-particle":"","family":"Zaidi","given":"Anita K.M.","non-dropping-particle":"","parse-names":false,"suffix":""},{"dropping-particle":"","family":"Ganatra","given":"Hammad A.","non-dropping-particle":"","parse-names":false,"suffix":""},{"dropping-particle":"","family":"Syed","given":"Sana","non-dropping-particle":"","parse-names":false,"suffix":""},{"dropping-particle":"","family":"Cousens","given":"Simon","non-dropping-particle":"","parse-names":false,"suffix":""},{"dropping-particle":"","family":"Lee","given":"Anne Cc","non-dropping-particle":"","parse-names":false,"suffix":""},{"dropping-particle":"","family":"Black","given":"Robert","non-dropping-particle":"","parse-names":false,"suffix":""},{"dropping-particle":"","family":"Bhutta","given":"Zulfiqar A.","non-dropping-particle":"","parse-names":false,"suffix":""},{"dropping-particle":"","family":"Lawn","given":"Joy E.","non-dropping-particle":"","parse-names":false,"suffix":""}],"container-title":"BMC Public Health","id":"ITEM-1","issue":"SUPPL. 3","issued":{"date-parts":[["2011","4","13"]]},"page":"S13","publisher":"BioMed Central","title":"Effect of case management on neonatal mortality due to sepsis and pneumonia","type":"article","volume":"11"},"uris":["http://www.mendeley.com/documents/?uuid=3b6895cb-e0fc-3f0c-b77b-bac81d0044c2"]}],"mendeley":{"formattedCitation":"(Zaidi &lt;i&gt;et al.&lt;/i&gt;, 2011)","plainTextFormattedCitation":"(Zaidi et al., 2011)","previouslyFormattedCitation":"(Zaidi &lt;i&gt;et al.&lt;/i&gt;, 2011)"},"properties":{"noteIndex":0},"schema":"https://github.com/citation-style-language/schema/raw/master/csl-citation.json"}</w:instrText>
            </w:r>
            <w:r>
              <w:rPr>
                <w:rFonts w:ascii="Calibri" w:hAnsi="Calibri" w:cs="Calibri"/>
                <w:color w:val="000000" w:themeColor="text1"/>
                <w:sz w:val="18"/>
                <w:szCs w:val="18"/>
              </w:rPr>
              <w:fldChar w:fldCharType="separate"/>
            </w:r>
            <w:r w:rsidRPr="00AD087D">
              <w:rPr>
                <w:rFonts w:ascii="Calibri" w:hAnsi="Calibri" w:cs="Calibri"/>
                <w:noProof/>
                <w:color w:val="000000" w:themeColor="text1"/>
                <w:sz w:val="18"/>
                <w:szCs w:val="18"/>
              </w:rPr>
              <w:t xml:space="preserve">(Zaidi </w:t>
            </w:r>
            <w:r w:rsidRPr="00AD087D">
              <w:rPr>
                <w:rFonts w:ascii="Calibri" w:hAnsi="Calibri" w:cs="Calibri"/>
                <w:i/>
                <w:noProof/>
                <w:color w:val="000000" w:themeColor="text1"/>
                <w:sz w:val="18"/>
                <w:szCs w:val="18"/>
              </w:rPr>
              <w:t>et al.</w:t>
            </w:r>
            <w:r w:rsidRPr="00AD087D">
              <w:rPr>
                <w:rFonts w:ascii="Calibri" w:hAnsi="Calibri" w:cs="Calibri"/>
                <w:noProof/>
                <w:color w:val="000000" w:themeColor="text1"/>
                <w:sz w:val="18"/>
                <w:szCs w:val="18"/>
              </w:rPr>
              <w:t>, 2011)</w:t>
            </w:r>
            <w:r>
              <w:rPr>
                <w:rFonts w:ascii="Calibri" w:hAnsi="Calibri" w:cs="Calibri"/>
                <w:color w:val="000000" w:themeColor="text1"/>
                <w:sz w:val="18"/>
                <w:szCs w:val="18"/>
              </w:rPr>
              <w:fldChar w:fldCharType="end"/>
            </w:r>
          </w:p>
        </w:tc>
      </w:tr>
      <w:tr w:rsidR="00AD087D" w:rsidRPr="00F41BE4" w14:paraId="7941C08F" w14:textId="77777777" w:rsidTr="00CB2C37">
        <w:trPr>
          <w:trHeight w:val="288"/>
        </w:trPr>
        <w:tc>
          <w:tcPr>
            <w:tcW w:w="2552" w:type="dxa"/>
            <w:shd w:val="clear" w:color="auto" w:fill="F2F2F2" w:themeFill="background1" w:themeFillShade="F2"/>
            <w:noWrap/>
            <w:hideMark/>
          </w:tcPr>
          <w:p w14:paraId="43023B7B"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lastRenderedPageBreak/>
              <w:t>prob_care_seeking_postnatal_emergency</w:t>
            </w:r>
          </w:p>
        </w:tc>
        <w:tc>
          <w:tcPr>
            <w:tcW w:w="1134" w:type="dxa"/>
            <w:noWrap/>
            <w:hideMark/>
          </w:tcPr>
          <w:p w14:paraId="47B0C469"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0.5</w:t>
            </w:r>
          </w:p>
        </w:tc>
        <w:tc>
          <w:tcPr>
            <w:tcW w:w="2977" w:type="dxa"/>
            <w:shd w:val="clear" w:color="auto" w:fill="F2F2F2" w:themeFill="background1" w:themeFillShade="F2"/>
          </w:tcPr>
          <w:p w14:paraId="636BCB1B"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baseline probability of emergency care seeking for women in the postnatal period'</w:t>
            </w:r>
          </w:p>
          <w:p w14:paraId="395BB848" w14:textId="77777777" w:rsidR="00AD087D" w:rsidRPr="001500DF" w:rsidRDefault="00AD087D" w:rsidP="00AD087D">
            <w:pPr>
              <w:rPr>
                <w:rFonts w:ascii="Calibri" w:hAnsi="Calibri" w:cs="Calibri"/>
                <w:color w:val="000000" w:themeColor="text1"/>
                <w:sz w:val="18"/>
                <w:szCs w:val="18"/>
              </w:rPr>
            </w:pPr>
          </w:p>
        </w:tc>
        <w:tc>
          <w:tcPr>
            <w:tcW w:w="2693" w:type="dxa"/>
          </w:tcPr>
          <w:p w14:paraId="0EB96419" w14:textId="73E15FB4"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27A71E77" w14:textId="77777777" w:rsidTr="00CB2C37">
        <w:trPr>
          <w:trHeight w:val="288"/>
        </w:trPr>
        <w:tc>
          <w:tcPr>
            <w:tcW w:w="2552" w:type="dxa"/>
            <w:shd w:val="clear" w:color="auto" w:fill="F2F2F2" w:themeFill="background1" w:themeFillShade="F2"/>
            <w:noWrap/>
            <w:hideMark/>
          </w:tcPr>
          <w:p w14:paraId="6A8537F7"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prob_care_seeking_postnatal_emergency_neonate</w:t>
            </w:r>
          </w:p>
        </w:tc>
        <w:tc>
          <w:tcPr>
            <w:tcW w:w="1134" w:type="dxa"/>
            <w:noWrap/>
            <w:hideMark/>
          </w:tcPr>
          <w:p w14:paraId="13C0EF0D"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0.5</w:t>
            </w:r>
          </w:p>
        </w:tc>
        <w:tc>
          <w:tcPr>
            <w:tcW w:w="2977" w:type="dxa"/>
            <w:shd w:val="clear" w:color="auto" w:fill="F2F2F2" w:themeFill="background1" w:themeFillShade="F2"/>
          </w:tcPr>
          <w:p w14:paraId="6B9F83E9"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baseline probability care will be sought for a neonate with a complication</w:t>
            </w:r>
          </w:p>
          <w:p w14:paraId="619478B4" w14:textId="77777777" w:rsidR="00AD087D" w:rsidRPr="001500DF" w:rsidRDefault="00AD087D" w:rsidP="00AD087D">
            <w:pPr>
              <w:rPr>
                <w:rFonts w:ascii="Calibri" w:hAnsi="Calibri" w:cs="Calibri"/>
                <w:color w:val="000000" w:themeColor="text1"/>
                <w:sz w:val="18"/>
                <w:szCs w:val="18"/>
              </w:rPr>
            </w:pPr>
          </w:p>
        </w:tc>
        <w:tc>
          <w:tcPr>
            <w:tcW w:w="2693" w:type="dxa"/>
          </w:tcPr>
          <w:p w14:paraId="17E7835C" w14:textId="74A98C51"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343AAF7C" w14:textId="77777777" w:rsidTr="00CB2C37">
        <w:trPr>
          <w:trHeight w:val="288"/>
        </w:trPr>
        <w:tc>
          <w:tcPr>
            <w:tcW w:w="2552" w:type="dxa"/>
            <w:shd w:val="clear" w:color="auto" w:fill="F2F2F2" w:themeFill="background1" w:themeFillShade="F2"/>
            <w:noWrap/>
            <w:hideMark/>
          </w:tcPr>
          <w:p w14:paraId="51487DFE"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prob_pnc1_at_day_7</w:t>
            </w:r>
          </w:p>
        </w:tc>
        <w:tc>
          <w:tcPr>
            <w:tcW w:w="1134" w:type="dxa"/>
            <w:noWrap/>
            <w:hideMark/>
          </w:tcPr>
          <w:p w14:paraId="65164D0B"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0.4</w:t>
            </w:r>
          </w:p>
        </w:tc>
        <w:tc>
          <w:tcPr>
            <w:tcW w:w="2977" w:type="dxa"/>
            <w:shd w:val="clear" w:color="auto" w:fill="F2F2F2" w:themeFill="background1" w:themeFillShade="F2"/>
          </w:tcPr>
          <w:p w14:paraId="23967BAF"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 xml:space="preserve">baseline probability a woman will seek PNC for her and her newborn at day + 7 </w:t>
            </w:r>
          </w:p>
          <w:p w14:paraId="5F13B680" w14:textId="77777777" w:rsidR="00AD087D" w:rsidRPr="001500DF" w:rsidRDefault="00AD087D" w:rsidP="00AD087D">
            <w:pPr>
              <w:rPr>
                <w:rFonts w:ascii="Calibri" w:hAnsi="Calibri" w:cs="Calibri"/>
                <w:color w:val="000000" w:themeColor="text1"/>
                <w:sz w:val="18"/>
                <w:szCs w:val="18"/>
              </w:rPr>
            </w:pPr>
          </w:p>
        </w:tc>
        <w:tc>
          <w:tcPr>
            <w:tcW w:w="2693" w:type="dxa"/>
          </w:tcPr>
          <w:p w14:paraId="124D22BF" w14:textId="2778F165"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30AE7EFA" w14:textId="77777777" w:rsidTr="00CB2C37">
        <w:trPr>
          <w:trHeight w:val="288"/>
        </w:trPr>
        <w:tc>
          <w:tcPr>
            <w:tcW w:w="2552" w:type="dxa"/>
            <w:shd w:val="clear" w:color="auto" w:fill="F2F2F2" w:themeFill="background1" w:themeFillShade="F2"/>
            <w:noWrap/>
            <w:hideMark/>
          </w:tcPr>
          <w:p w14:paraId="4A6B076E"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multiplier_for_care_seeking_with_comps</w:t>
            </w:r>
          </w:p>
        </w:tc>
        <w:tc>
          <w:tcPr>
            <w:tcW w:w="1134" w:type="dxa"/>
            <w:noWrap/>
            <w:hideMark/>
          </w:tcPr>
          <w:p w14:paraId="0708E992"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2</w:t>
            </w:r>
          </w:p>
        </w:tc>
        <w:tc>
          <w:tcPr>
            <w:tcW w:w="2977" w:type="dxa"/>
            <w:shd w:val="clear" w:color="auto" w:fill="F2F2F2" w:themeFill="background1" w:themeFillShade="F2"/>
          </w:tcPr>
          <w:p w14:paraId="7BF53B03"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number by which prob_pnc1_at_day_7 is multiplied by to increase</w:t>
            </w:r>
            <w:r>
              <w:rPr>
                <w:rFonts w:ascii="Calibri" w:hAnsi="Calibri" w:cs="Calibri"/>
                <w:color w:val="000000" w:themeColor="text1"/>
                <w:sz w:val="18"/>
                <w:szCs w:val="18"/>
              </w:rPr>
              <w:t xml:space="preserve"> care seeking for PNC1 in women </w:t>
            </w:r>
            <w:r w:rsidRPr="001500DF">
              <w:rPr>
                <w:rFonts w:ascii="Calibri" w:hAnsi="Calibri" w:cs="Calibri"/>
                <w:color w:val="000000" w:themeColor="text1"/>
                <w:sz w:val="18"/>
                <w:szCs w:val="18"/>
              </w:rPr>
              <w:t>with complications</w:t>
            </w:r>
          </w:p>
          <w:p w14:paraId="09E5CC0B" w14:textId="77777777" w:rsidR="00AD087D" w:rsidRPr="001500DF" w:rsidRDefault="00AD087D" w:rsidP="00AD087D">
            <w:pPr>
              <w:rPr>
                <w:rFonts w:ascii="Calibri" w:hAnsi="Calibri" w:cs="Calibri"/>
                <w:color w:val="000000" w:themeColor="text1"/>
                <w:sz w:val="18"/>
                <w:szCs w:val="18"/>
              </w:rPr>
            </w:pPr>
          </w:p>
        </w:tc>
        <w:tc>
          <w:tcPr>
            <w:tcW w:w="2693" w:type="dxa"/>
          </w:tcPr>
          <w:p w14:paraId="4FD16F7A" w14:textId="65D16DCE"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203F8760" w14:textId="77777777" w:rsidTr="00CB2C37">
        <w:trPr>
          <w:trHeight w:val="288"/>
        </w:trPr>
        <w:tc>
          <w:tcPr>
            <w:tcW w:w="2552" w:type="dxa"/>
            <w:shd w:val="clear" w:color="auto" w:fill="F2F2F2" w:themeFill="background1" w:themeFillShade="F2"/>
            <w:noWrap/>
            <w:hideMark/>
          </w:tcPr>
          <w:p w14:paraId="314A06A0"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sensitivity_bp_monitoring_pn</w:t>
            </w:r>
          </w:p>
        </w:tc>
        <w:tc>
          <w:tcPr>
            <w:tcW w:w="1134" w:type="dxa"/>
            <w:noWrap/>
            <w:hideMark/>
          </w:tcPr>
          <w:p w14:paraId="7FECFEBD"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41F597F7"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sensitivity of BP monitoring during PNC</w:t>
            </w:r>
          </w:p>
          <w:p w14:paraId="05D3A996" w14:textId="77777777" w:rsidR="00AD087D" w:rsidRPr="001500DF" w:rsidRDefault="00AD087D" w:rsidP="00AD087D">
            <w:pPr>
              <w:rPr>
                <w:rFonts w:ascii="Calibri" w:hAnsi="Calibri" w:cs="Calibri"/>
                <w:color w:val="000000" w:themeColor="text1"/>
                <w:sz w:val="18"/>
                <w:szCs w:val="18"/>
              </w:rPr>
            </w:pPr>
          </w:p>
        </w:tc>
        <w:tc>
          <w:tcPr>
            <w:tcW w:w="2693" w:type="dxa"/>
          </w:tcPr>
          <w:p w14:paraId="241DA494" w14:textId="252F6E6C"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68A85475" w14:textId="77777777" w:rsidTr="00CB2C37">
        <w:trPr>
          <w:trHeight w:val="288"/>
        </w:trPr>
        <w:tc>
          <w:tcPr>
            <w:tcW w:w="2552" w:type="dxa"/>
            <w:shd w:val="clear" w:color="auto" w:fill="F2F2F2" w:themeFill="background1" w:themeFillShade="F2"/>
            <w:noWrap/>
            <w:hideMark/>
          </w:tcPr>
          <w:p w14:paraId="40393DE6"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specificity_bp_monitoring_pn</w:t>
            </w:r>
          </w:p>
        </w:tc>
        <w:tc>
          <w:tcPr>
            <w:tcW w:w="1134" w:type="dxa"/>
            <w:noWrap/>
            <w:hideMark/>
          </w:tcPr>
          <w:p w14:paraId="6F087A17"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3340C6E2"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specificity of BP monitoring during PNC</w:t>
            </w:r>
          </w:p>
          <w:p w14:paraId="571A8FC3" w14:textId="77777777" w:rsidR="00AD087D" w:rsidRPr="001500DF" w:rsidRDefault="00AD087D" w:rsidP="00AD087D">
            <w:pPr>
              <w:rPr>
                <w:rFonts w:ascii="Calibri" w:hAnsi="Calibri" w:cs="Calibri"/>
                <w:color w:val="000000" w:themeColor="text1"/>
                <w:sz w:val="18"/>
                <w:szCs w:val="18"/>
              </w:rPr>
            </w:pPr>
          </w:p>
        </w:tc>
        <w:tc>
          <w:tcPr>
            <w:tcW w:w="2693" w:type="dxa"/>
          </w:tcPr>
          <w:p w14:paraId="310A0681" w14:textId="27ABE021"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662FC4D5" w14:textId="77777777" w:rsidTr="00CB2C37">
        <w:trPr>
          <w:trHeight w:val="288"/>
        </w:trPr>
        <w:tc>
          <w:tcPr>
            <w:tcW w:w="2552" w:type="dxa"/>
            <w:shd w:val="clear" w:color="auto" w:fill="F2F2F2" w:themeFill="background1" w:themeFillShade="F2"/>
            <w:noWrap/>
            <w:hideMark/>
          </w:tcPr>
          <w:p w14:paraId="1CBD054A"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sensitivity_urine_protein_1_plus_pn</w:t>
            </w:r>
          </w:p>
        </w:tc>
        <w:tc>
          <w:tcPr>
            <w:tcW w:w="1134" w:type="dxa"/>
            <w:noWrap/>
            <w:hideMark/>
          </w:tcPr>
          <w:p w14:paraId="1A80BA3B"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577534CF"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sensitivity of urine dipstick during PNC</w:t>
            </w:r>
          </w:p>
          <w:p w14:paraId="4677DF10" w14:textId="77777777" w:rsidR="00AD087D" w:rsidRPr="001500DF" w:rsidRDefault="00AD087D" w:rsidP="00AD087D">
            <w:pPr>
              <w:rPr>
                <w:rFonts w:ascii="Calibri" w:hAnsi="Calibri" w:cs="Calibri"/>
                <w:color w:val="000000" w:themeColor="text1"/>
                <w:sz w:val="18"/>
                <w:szCs w:val="18"/>
              </w:rPr>
            </w:pPr>
          </w:p>
        </w:tc>
        <w:tc>
          <w:tcPr>
            <w:tcW w:w="2693" w:type="dxa"/>
          </w:tcPr>
          <w:p w14:paraId="7FB537EF" w14:textId="07C222FD"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3084D915" w14:textId="77777777" w:rsidTr="00CB2C37">
        <w:trPr>
          <w:trHeight w:val="288"/>
        </w:trPr>
        <w:tc>
          <w:tcPr>
            <w:tcW w:w="2552" w:type="dxa"/>
            <w:shd w:val="clear" w:color="auto" w:fill="F2F2F2" w:themeFill="background1" w:themeFillShade="F2"/>
            <w:noWrap/>
            <w:hideMark/>
          </w:tcPr>
          <w:p w14:paraId="519F06B4"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specificity_urine_protein_1_plus_pn</w:t>
            </w:r>
          </w:p>
        </w:tc>
        <w:tc>
          <w:tcPr>
            <w:tcW w:w="1134" w:type="dxa"/>
            <w:noWrap/>
            <w:hideMark/>
          </w:tcPr>
          <w:p w14:paraId="5CD113BC"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5BEF0629"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specificity of urine dipstick monitoring during PNC</w:t>
            </w:r>
          </w:p>
          <w:p w14:paraId="7BCC3E30" w14:textId="77777777" w:rsidR="00AD087D" w:rsidRPr="001500DF" w:rsidRDefault="00AD087D" w:rsidP="00AD087D">
            <w:pPr>
              <w:rPr>
                <w:rFonts w:ascii="Calibri" w:hAnsi="Calibri" w:cs="Calibri"/>
                <w:color w:val="000000" w:themeColor="text1"/>
                <w:sz w:val="18"/>
                <w:szCs w:val="18"/>
              </w:rPr>
            </w:pPr>
          </w:p>
        </w:tc>
        <w:tc>
          <w:tcPr>
            <w:tcW w:w="2693" w:type="dxa"/>
          </w:tcPr>
          <w:p w14:paraId="657ABBD5" w14:textId="3DC504F3"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0B7BBDEA" w14:textId="77777777" w:rsidTr="00CB2C37">
        <w:trPr>
          <w:trHeight w:val="288"/>
        </w:trPr>
        <w:tc>
          <w:tcPr>
            <w:tcW w:w="2552" w:type="dxa"/>
            <w:shd w:val="clear" w:color="auto" w:fill="F2F2F2" w:themeFill="background1" w:themeFillShade="F2"/>
            <w:noWrap/>
            <w:hideMark/>
          </w:tcPr>
          <w:p w14:paraId="7388DA62"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sensitivity_poc_hb_test_pn</w:t>
            </w:r>
          </w:p>
        </w:tc>
        <w:tc>
          <w:tcPr>
            <w:tcW w:w="1134" w:type="dxa"/>
            <w:noWrap/>
            <w:hideMark/>
          </w:tcPr>
          <w:p w14:paraId="642EE70C"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7662A487"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sensitivity of point of care testing during PNC</w:t>
            </w:r>
          </w:p>
          <w:p w14:paraId="414EC1D5" w14:textId="77777777" w:rsidR="00AD087D" w:rsidRPr="001500DF" w:rsidRDefault="00AD087D" w:rsidP="00AD087D">
            <w:pPr>
              <w:rPr>
                <w:rFonts w:ascii="Calibri" w:hAnsi="Calibri" w:cs="Calibri"/>
                <w:color w:val="000000" w:themeColor="text1"/>
                <w:sz w:val="18"/>
                <w:szCs w:val="18"/>
              </w:rPr>
            </w:pPr>
          </w:p>
        </w:tc>
        <w:tc>
          <w:tcPr>
            <w:tcW w:w="2693" w:type="dxa"/>
          </w:tcPr>
          <w:p w14:paraId="056EECB6" w14:textId="4A5BAB3A"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12B3DF00" w14:textId="77777777" w:rsidTr="00CB2C37">
        <w:trPr>
          <w:trHeight w:val="288"/>
        </w:trPr>
        <w:tc>
          <w:tcPr>
            <w:tcW w:w="2552" w:type="dxa"/>
            <w:shd w:val="clear" w:color="auto" w:fill="F2F2F2" w:themeFill="background1" w:themeFillShade="F2"/>
            <w:noWrap/>
            <w:hideMark/>
          </w:tcPr>
          <w:p w14:paraId="25316B8A"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specificity_poc_hb_test_pn</w:t>
            </w:r>
          </w:p>
        </w:tc>
        <w:tc>
          <w:tcPr>
            <w:tcW w:w="1134" w:type="dxa"/>
            <w:noWrap/>
            <w:hideMark/>
          </w:tcPr>
          <w:p w14:paraId="73F74314"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6FD54E13"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specificity of urine dipstick monitoring during PNC</w:t>
            </w:r>
          </w:p>
          <w:p w14:paraId="652119D3" w14:textId="77777777" w:rsidR="00AD087D" w:rsidRPr="001500DF" w:rsidRDefault="00AD087D" w:rsidP="00AD087D">
            <w:pPr>
              <w:rPr>
                <w:rFonts w:ascii="Calibri" w:hAnsi="Calibri" w:cs="Calibri"/>
                <w:color w:val="000000" w:themeColor="text1"/>
                <w:sz w:val="18"/>
                <w:szCs w:val="18"/>
              </w:rPr>
            </w:pPr>
          </w:p>
        </w:tc>
        <w:tc>
          <w:tcPr>
            <w:tcW w:w="2693" w:type="dxa"/>
          </w:tcPr>
          <w:p w14:paraId="41E89549" w14:textId="39C4BED1"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7111AA7C" w14:textId="77777777" w:rsidTr="00CB2C37">
        <w:trPr>
          <w:trHeight w:val="288"/>
        </w:trPr>
        <w:tc>
          <w:tcPr>
            <w:tcW w:w="2552" w:type="dxa"/>
            <w:shd w:val="clear" w:color="auto" w:fill="F2F2F2" w:themeFill="background1" w:themeFillShade="F2"/>
            <w:noWrap/>
            <w:hideMark/>
          </w:tcPr>
          <w:p w14:paraId="197EAF6F"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sensitivity_maternal_sepsis_assessment</w:t>
            </w:r>
          </w:p>
        </w:tc>
        <w:tc>
          <w:tcPr>
            <w:tcW w:w="1134" w:type="dxa"/>
            <w:noWrap/>
            <w:hideMark/>
          </w:tcPr>
          <w:p w14:paraId="2C1D0426"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703502F0"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sensitivity of assessment for maternal sepsis'</w:t>
            </w:r>
          </w:p>
          <w:p w14:paraId="3CBEA8EC" w14:textId="77777777" w:rsidR="00AD087D" w:rsidRPr="001500DF" w:rsidRDefault="00AD087D" w:rsidP="00AD087D">
            <w:pPr>
              <w:rPr>
                <w:rFonts w:ascii="Calibri" w:hAnsi="Calibri" w:cs="Calibri"/>
                <w:color w:val="000000" w:themeColor="text1"/>
                <w:sz w:val="18"/>
                <w:szCs w:val="18"/>
              </w:rPr>
            </w:pPr>
          </w:p>
        </w:tc>
        <w:tc>
          <w:tcPr>
            <w:tcW w:w="2693" w:type="dxa"/>
          </w:tcPr>
          <w:p w14:paraId="796349C3" w14:textId="4BD91D3C"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3BF3FC30" w14:textId="77777777" w:rsidTr="00CB2C37">
        <w:trPr>
          <w:trHeight w:val="288"/>
        </w:trPr>
        <w:tc>
          <w:tcPr>
            <w:tcW w:w="2552" w:type="dxa"/>
            <w:shd w:val="clear" w:color="auto" w:fill="F2F2F2" w:themeFill="background1" w:themeFillShade="F2"/>
            <w:noWrap/>
            <w:hideMark/>
          </w:tcPr>
          <w:p w14:paraId="4DC63F92"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sensitivity_pph_assessment</w:t>
            </w:r>
          </w:p>
        </w:tc>
        <w:tc>
          <w:tcPr>
            <w:tcW w:w="1134" w:type="dxa"/>
            <w:noWrap/>
            <w:hideMark/>
          </w:tcPr>
          <w:p w14:paraId="4981ACDD"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0ED1788C"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sensitivity of assessment for secondary pph</w:t>
            </w:r>
          </w:p>
          <w:p w14:paraId="150A59AB" w14:textId="77777777" w:rsidR="00AD087D" w:rsidRPr="001500DF" w:rsidRDefault="00AD087D" w:rsidP="00AD087D">
            <w:pPr>
              <w:rPr>
                <w:rFonts w:ascii="Calibri" w:hAnsi="Calibri" w:cs="Calibri"/>
                <w:color w:val="000000" w:themeColor="text1"/>
                <w:sz w:val="18"/>
                <w:szCs w:val="18"/>
              </w:rPr>
            </w:pPr>
          </w:p>
        </w:tc>
        <w:tc>
          <w:tcPr>
            <w:tcW w:w="2693" w:type="dxa"/>
          </w:tcPr>
          <w:p w14:paraId="491EC18C" w14:textId="6343614F"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40620839" w14:textId="77777777" w:rsidTr="00CB2C37">
        <w:trPr>
          <w:trHeight w:val="288"/>
        </w:trPr>
        <w:tc>
          <w:tcPr>
            <w:tcW w:w="2552" w:type="dxa"/>
            <w:shd w:val="clear" w:color="auto" w:fill="F2F2F2" w:themeFill="background1" w:themeFillShade="F2"/>
            <w:noWrap/>
            <w:hideMark/>
          </w:tcPr>
          <w:p w14:paraId="1A1E9F99"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sensitivity_lons_assessment</w:t>
            </w:r>
          </w:p>
        </w:tc>
        <w:tc>
          <w:tcPr>
            <w:tcW w:w="1134" w:type="dxa"/>
            <w:noWrap/>
            <w:hideMark/>
          </w:tcPr>
          <w:p w14:paraId="23DD621D"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7F09A87B"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sensitivity of assessment for late onset neonatal sepsis'</w:t>
            </w:r>
          </w:p>
          <w:p w14:paraId="30916E7F" w14:textId="77777777" w:rsidR="00AD087D" w:rsidRPr="001500DF" w:rsidRDefault="00AD087D" w:rsidP="00AD087D">
            <w:pPr>
              <w:rPr>
                <w:rFonts w:ascii="Calibri" w:hAnsi="Calibri" w:cs="Calibri"/>
                <w:color w:val="000000" w:themeColor="text1"/>
                <w:sz w:val="18"/>
                <w:szCs w:val="18"/>
              </w:rPr>
            </w:pPr>
          </w:p>
        </w:tc>
        <w:tc>
          <w:tcPr>
            <w:tcW w:w="2693" w:type="dxa"/>
          </w:tcPr>
          <w:p w14:paraId="5648C2B2" w14:textId="2AF8FDB9"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2BE6E0D6" w14:textId="77777777" w:rsidTr="00CB2C37">
        <w:trPr>
          <w:trHeight w:val="288"/>
        </w:trPr>
        <w:tc>
          <w:tcPr>
            <w:tcW w:w="2552" w:type="dxa"/>
            <w:shd w:val="clear" w:color="auto" w:fill="F2F2F2" w:themeFill="background1" w:themeFillShade="F2"/>
            <w:noWrap/>
            <w:hideMark/>
          </w:tcPr>
          <w:p w14:paraId="0BE23938"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sensitivity_eons_assessment</w:t>
            </w:r>
          </w:p>
        </w:tc>
        <w:tc>
          <w:tcPr>
            <w:tcW w:w="1134" w:type="dxa"/>
            <w:noWrap/>
            <w:hideMark/>
          </w:tcPr>
          <w:p w14:paraId="00B9C9E7"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72834B00"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sensitivity of assessment for earl onset neonatal sepsis</w:t>
            </w:r>
          </w:p>
          <w:p w14:paraId="31E14606" w14:textId="77777777" w:rsidR="00AD087D" w:rsidRPr="001500DF" w:rsidRDefault="00AD087D" w:rsidP="00AD087D">
            <w:pPr>
              <w:rPr>
                <w:rFonts w:ascii="Calibri" w:hAnsi="Calibri" w:cs="Calibri"/>
                <w:color w:val="000000" w:themeColor="text1"/>
                <w:sz w:val="18"/>
                <w:szCs w:val="18"/>
              </w:rPr>
            </w:pPr>
          </w:p>
        </w:tc>
        <w:tc>
          <w:tcPr>
            <w:tcW w:w="2693" w:type="dxa"/>
          </w:tcPr>
          <w:p w14:paraId="2A481F56" w14:textId="2D2A7CDF"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6F8F19E3" w14:textId="77777777" w:rsidTr="00CB2C37">
        <w:trPr>
          <w:trHeight w:val="288"/>
        </w:trPr>
        <w:tc>
          <w:tcPr>
            <w:tcW w:w="2552" w:type="dxa"/>
            <w:shd w:val="clear" w:color="auto" w:fill="F2F2F2" w:themeFill="background1" w:themeFillShade="F2"/>
            <w:noWrap/>
            <w:hideMark/>
          </w:tcPr>
          <w:p w14:paraId="534C4D3B"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prob_intervention_delivered_sep_assessment_pnc</w:t>
            </w:r>
          </w:p>
        </w:tc>
        <w:tc>
          <w:tcPr>
            <w:tcW w:w="1134" w:type="dxa"/>
            <w:noWrap/>
            <w:hideMark/>
          </w:tcPr>
          <w:p w14:paraId="313BA1F5"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57C0FF75"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'probability a woman will be assessed for sepsis during PNC</w:t>
            </w:r>
          </w:p>
          <w:p w14:paraId="221501F9" w14:textId="77777777" w:rsidR="00AD087D" w:rsidRPr="001500DF" w:rsidRDefault="00AD087D" w:rsidP="00AD087D">
            <w:pPr>
              <w:rPr>
                <w:rFonts w:ascii="Calibri" w:hAnsi="Calibri" w:cs="Calibri"/>
                <w:color w:val="000000" w:themeColor="text1"/>
                <w:sz w:val="18"/>
                <w:szCs w:val="18"/>
              </w:rPr>
            </w:pPr>
          </w:p>
        </w:tc>
        <w:tc>
          <w:tcPr>
            <w:tcW w:w="2693" w:type="dxa"/>
          </w:tcPr>
          <w:p w14:paraId="1AF97876" w14:textId="5205489C"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5BA9D33C" w14:textId="77777777" w:rsidTr="00CB2C37">
        <w:trPr>
          <w:trHeight w:val="288"/>
        </w:trPr>
        <w:tc>
          <w:tcPr>
            <w:tcW w:w="2552" w:type="dxa"/>
            <w:shd w:val="clear" w:color="auto" w:fill="F2F2F2" w:themeFill="background1" w:themeFillShade="F2"/>
            <w:noWrap/>
            <w:hideMark/>
          </w:tcPr>
          <w:p w14:paraId="5FE0FD31"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prob_intervention_delivered_pph_assessment_pnc</w:t>
            </w:r>
          </w:p>
        </w:tc>
        <w:tc>
          <w:tcPr>
            <w:tcW w:w="1134" w:type="dxa"/>
            <w:noWrap/>
            <w:hideMark/>
          </w:tcPr>
          <w:p w14:paraId="555E3803"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1A97A48F"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'probability a woman will be assessed for PPH during PNC</w:t>
            </w:r>
          </w:p>
          <w:p w14:paraId="4690B0C8" w14:textId="77777777" w:rsidR="00AD087D" w:rsidRPr="001500DF" w:rsidRDefault="00AD087D" w:rsidP="00AD087D">
            <w:pPr>
              <w:rPr>
                <w:rFonts w:ascii="Calibri" w:hAnsi="Calibri" w:cs="Calibri"/>
                <w:color w:val="000000" w:themeColor="text1"/>
                <w:sz w:val="18"/>
                <w:szCs w:val="18"/>
              </w:rPr>
            </w:pPr>
          </w:p>
        </w:tc>
        <w:tc>
          <w:tcPr>
            <w:tcW w:w="2693" w:type="dxa"/>
          </w:tcPr>
          <w:p w14:paraId="37DAB04A" w14:textId="2FBF5B18"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47890E75" w14:textId="77777777" w:rsidTr="00CB2C37">
        <w:trPr>
          <w:trHeight w:val="288"/>
        </w:trPr>
        <w:tc>
          <w:tcPr>
            <w:tcW w:w="2552" w:type="dxa"/>
            <w:shd w:val="clear" w:color="auto" w:fill="F2F2F2" w:themeFill="background1" w:themeFillShade="F2"/>
            <w:noWrap/>
            <w:hideMark/>
          </w:tcPr>
          <w:p w14:paraId="1D198229"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prob_intervention_delivered_urine_ds_pnc</w:t>
            </w:r>
          </w:p>
        </w:tc>
        <w:tc>
          <w:tcPr>
            <w:tcW w:w="1134" w:type="dxa"/>
            <w:noWrap/>
            <w:hideMark/>
          </w:tcPr>
          <w:p w14:paraId="76A31ECE"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6AE1C2B7"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'probability a woman will receive a urine dipstick during PNC</w:t>
            </w:r>
          </w:p>
          <w:p w14:paraId="71F7C650" w14:textId="77777777" w:rsidR="00AD087D" w:rsidRPr="001500DF" w:rsidRDefault="00AD087D" w:rsidP="00AD087D">
            <w:pPr>
              <w:rPr>
                <w:rFonts w:ascii="Calibri" w:hAnsi="Calibri" w:cs="Calibri"/>
                <w:color w:val="000000" w:themeColor="text1"/>
                <w:sz w:val="18"/>
                <w:szCs w:val="18"/>
              </w:rPr>
            </w:pPr>
          </w:p>
        </w:tc>
        <w:tc>
          <w:tcPr>
            <w:tcW w:w="2693" w:type="dxa"/>
          </w:tcPr>
          <w:p w14:paraId="497FD131" w14:textId="5B167A10"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561A751A" w14:textId="77777777" w:rsidTr="00CB2C37">
        <w:trPr>
          <w:trHeight w:val="288"/>
        </w:trPr>
        <w:tc>
          <w:tcPr>
            <w:tcW w:w="2552" w:type="dxa"/>
            <w:shd w:val="clear" w:color="auto" w:fill="F2F2F2" w:themeFill="background1" w:themeFillShade="F2"/>
            <w:noWrap/>
            <w:hideMark/>
          </w:tcPr>
          <w:p w14:paraId="6FFC672F"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prob_intervention_delivered_bp_pnc</w:t>
            </w:r>
          </w:p>
        </w:tc>
        <w:tc>
          <w:tcPr>
            <w:tcW w:w="1134" w:type="dxa"/>
            <w:noWrap/>
            <w:hideMark/>
          </w:tcPr>
          <w:p w14:paraId="410F5742"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04934916"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probability a woman will receive blood pressure testing during PNC'</w:t>
            </w:r>
          </w:p>
          <w:p w14:paraId="216776C2" w14:textId="77777777" w:rsidR="00AD087D" w:rsidRPr="001500DF" w:rsidRDefault="00AD087D" w:rsidP="00AD087D">
            <w:pPr>
              <w:rPr>
                <w:rFonts w:ascii="Calibri" w:hAnsi="Calibri" w:cs="Calibri"/>
                <w:color w:val="000000" w:themeColor="text1"/>
                <w:sz w:val="18"/>
                <w:szCs w:val="18"/>
              </w:rPr>
            </w:pPr>
          </w:p>
        </w:tc>
        <w:tc>
          <w:tcPr>
            <w:tcW w:w="2693" w:type="dxa"/>
          </w:tcPr>
          <w:p w14:paraId="1943B8EF" w14:textId="0855A98F"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733A0EE4" w14:textId="77777777" w:rsidTr="00CB2C37">
        <w:trPr>
          <w:trHeight w:val="288"/>
        </w:trPr>
        <w:tc>
          <w:tcPr>
            <w:tcW w:w="2552" w:type="dxa"/>
            <w:shd w:val="clear" w:color="auto" w:fill="F2F2F2" w:themeFill="background1" w:themeFillShade="F2"/>
            <w:noWrap/>
            <w:hideMark/>
          </w:tcPr>
          <w:p w14:paraId="500B3CD6"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prob_intervention_poct_pnc</w:t>
            </w:r>
          </w:p>
        </w:tc>
        <w:tc>
          <w:tcPr>
            <w:tcW w:w="1134" w:type="dxa"/>
            <w:noWrap/>
            <w:hideMark/>
          </w:tcPr>
          <w:p w14:paraId="5A29C824"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0FEFE439"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probability a woman will receive point of care Hb testing during PNC</w:t>
            </w:r>
          </w:p>
          <w:p w14:paraId="01131BB4" w14:textId="77777777" w:rsidR="00AD087D" w:rsidRPr="001500DF" w:rsidRDefault="00AD087D" w:rsidP="00AD087D">
            <w:pPr>
              <w:rPr>
                <w:rFonts w:ascii="Calibri" w:hAnsi="Calibri" w:cs="Calibri"/>
                <w:color w:val="000000" w:themeColor="text1"/>
                <w:sz w:val="18"/>
                <w:szCs w:val="18"/>
              </w:rPr>
            </w:pPr>
          </w:p>
        </w:tc>
        <w:tc>
          <w:tcPr>
            <w:tcW w:w="2693" w:type="dxa"/>
          </w:tcPr>
          <w:p w14:paraId="551A7652" w14:textId="59567C15"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r w:rsidR="00AD087D" w:rsidRPr="00F41BE4" w14:paraId="10EEB8DE" w14:textId="77777777" w:rsidTr="00CB2C37">
        <w:trPr>
          <w:trHeight w:val="288"/>
        </w:trPr>
        <w:tc>
          <w:tcPr>
            <w:tcW w:w="2552" w:type="dxa"/>
            <w:shd w:val="clear" w:color="auto" w:fill="F2F2F2" w:themeFill="background1" w:themeFillShade="F2"/>
            <w:noWrap/>
            <w:hideMark/>
          </w:tcPr>
          <w:p w14:paraId="155A23BD"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lastRenderedPageBreak/>
              <w:t>prob_intervention_neonatal_sepsis_pnc</w:t>
            </w:r>
          </w:p>
        </w:tc>
        <w:tc>
          <w:tcPr>
            <w:tcW w:w="1134" w:type="dxa"/>
            <w:noWrap/>
            <w:hideMark/>
          </w:tcPr>
          <w:p w14:paraId="3E19B425" w14:textId="77777777" w:rsidR="00AD087D" w:rsidRPr="001500DF" w:rsidRDefault="00AD087D" w:rsidP="00AD087D">
            <w:pPr>
              <w:jc w:val="center"/>
              <w:rPr>
                <w:rFonts w:ascii="Calibri" w:hAnsi="Calibri" w:cs="Calibri"/>
                <w:b/>
                <w:color w:val="000000" w:themeColor="text1"/>
                <w:sz w:val="18"/>
                <w:szCs w:val="18"/>
              </w:rPr>
            </w:pPr>
            <w:r w:rsidRPr="001500DF">
              <w:rPr>
                <w:rFonts w:ascii="Calibri" w:hAnsi="Calibri" w:cs="Calibri"/>
                <w:b/>
                <w:color w:val="000000" w:themeColor="text1"/>
                <w:sz w:val="18"/>
                <w:szCs w:val="18"/>
              </w:rPr>
              <w:t>0.9</w:t>
            </w:r>
          </w:p>
        </w:tc>
        <w:tc>
          <w:tcPr>
            <w:tcW w:w="2977" w:type="dxa"/>
            <w:shd w:val="clear" w:color="auto" w:fill="F2F2F2" w:themeFill="background1" w:themeFillShade="F2"/>
          </w:tcPr>
          <w:p w14:paraId="7B20C8E7" w14:textId="77777777" w:rsidR="00AD087D" w:rsidRPr="001500DF" w:rsidRDefault="00AD087D" w:rsidP="00AD087D">
            <w:pPr>
              <w:rPr>
                <w:rFonts w:ascii="Calibri" w:hAnsi="Calibri" w:cs="Calibri"/>
                <w:color w:val="000000" w:themeColor="text1"/>
                <w:sz w:val="18"/>
                <w:szCs w:val="18"/>
              </w:rPr>
            </w:pPr>
            <w:r w:rsidRPr="001500DF">
              <w:rPr>
                <w:rFonts w:ascii="Calibri" w:hAnsi="Calibri" w:cs="Calibri"/>
                <w:color w:val="000000" w:themeColor="text1"/>
                <w:sz w:val="18"/>
                <w:szCs w:val="18"/>
              </w:rPr>
              <w:t>probability a newborn will be assessed for sepsis during PNC</w:t>
            </w:r>
          </w:p>
          <w:p w14:paraId="33C8417A" w14:textId="77777777" w:rsidR="00AD087D" w:rsidRPr="001500DF" w:rsidRDefault="00AD087D" w:rsidP="00AD087D">
            <w:pPr>
              <w:rPr>
                <w:rFonts w:ascii="Calibri" w:hAnsi="Calibri" w:cs="Calibri"/>
                <w:color w:val="000000" w:themeColor="text1"/>
                <w:sz w:val="18"/>
                <w:szCs w:val="18"/>
              </w:rPr>
            </w:pPr>
          </w:p>
        </w:tc>
        <w:tc>
          <w:tcPr>
            <w:tcW w:w="2693" w:type="dxa"/>
          </w:tcPr>
          <w:p w14:paraId="2484AD07" w14:textId="65E3271D" w:rsidR="00AD087D" w:rsidRPr="00AD087D" w:rsidRDefault="00AD087D" w:rsidP="00AD087D">
            <w:pPr>
              <w:rPr>
                <w:rFonts w:ascii="Calibri" w:hAnsi="Calibri" w:cs="Calibri"/>
                <w:i/>
                <w:color w:val="000000" w:themeColor="text1"/>
                <w:sz w:val="18"/>
                <w:szCs w:val="18"/>
              </w:rPr>
            </w:pPr>
            <w:r w:rsidRPr="00AD087D">
              <w:rPr>
                <w:rFonts w:ascii="Calibri" w:hAnsi="Calibri" w:cs="Calibri"/>
                <w:i/>
                <w:color w:val="000000" w:themeColor="text1"/>
                <w:sz w:val="18"/>
                <w:szCs w:val="18"/>
              </w:rPr>
              <w:t>DUMMY</w:t>
            </w:r>
          </w:p>
        </w:tc>
      </w:tr>
    </w:tbl>
    <w:p w14:paraId="72BC42CF" w14:textId="77777777" w:rsidR="00B12A73" w:rsidRDefault="00B12A73" w:rsidP="00223B76">
      <w:pPr>
        <w:spacing w:line="276" w:lineRule="auto"/>
        <w:rPr>
          <w:b/>
          <w:bCs/>
          <w:color w:val="808080" w:themeColor="background1" w:themeShade="80"/>
        </w:rPr>
      </w:pPr>
    </w:p>
    <w:p w14:paraId="7325A46C" w14:textId="6ACE0410" w:rsidR="00DC58BA" w:rsidRDefault="00DC58BA" w:rsidP="00256D4D">
      <w:pPr>
        <w:rPr>
          <w:b/>
        </w:rPr>
      </w:pPr>
    </w:p>
    <w:p w14:paraId="38BD4997" w14:textId="77777777" w:rsidR="002A34FD" w:rsidRDefault="002A34FD" w:rsidP="00256D4D">
      <w:pPr>
        <w:rPr>
          <w:b/>
        </w:rPr>
      </w:pPr>
    </w:p>
    <w:p w14:paraId="7BFAF4BB" w14:textId="77777777" w:rsidR="002A34FD" w:rsidRDefault="002A34FD" w:rsidP="00256D4D">
      <w:pPr>
        <w:rPr>
          <w:b/>
        </w:rPr>
      </w:pPr>
    </w:p>
    <w:p w14:paraId="3AA04BBD" w14:textId="77777777" w:rsidR="002A34FD" w:rsidRDefault="002A34FD" w:rsidP="00256D4D">
      <w:pPr>
        <w:rPr>
          <w:b/>
        </w:rPr>
      </w:pPr>
    </w:p>
    <w:p w14:paraId="67729AB7" w14:textId="77777777" w:rsidR="002A34FD" w:rsidRDefault="002A34FD" w:rsidP="00256D4D">
      <w:pPr>
        <w:rPr>
          <w:b/>
        </w:rPr>
      </w:pPr>
    </w:p>
    <w:p w14:paraId="32CA99E9" w14:textId="77777777" w:rsidR="002A34FD" w:rsidRDefault="002A34FD" w:rsidP="00256D4D">
      <w:pPr>
        <w:rPr>
          <w:b/>
        </w:rPr>
      </w:pPr>
    </w:p>
    <w:p w14:paraId="2EA9CF6F" w14:textId="77777777" w:rsidR="002A34FD" w:rsidRDefault="002A34FD" w:rsidP="00256D4D">
      <w:pPr>
        <w:rPr>
          <w:b/>
        </w:rPr>
      </w:pPr>
    </w:p>
    <w:p w14:paraId="46189E49" w14:textId="77777777" w:rsidR="002A34FD" w:rsidRDefault="002A34FD" w:rsidP="00256D4D">
      <w:pPr>
        <w:rPr>
          <w:b/>
        </w:rPr>
      </w:pPr>
    </w:p>
    <w:p w14:paraId="1233B0EB" w14:textId="77777777" w:rsidR="002A34FD" w:rsidRDefault="002A34FD" w:rsidP="00256D4D">
      <w:pPr>
        <w:rPr>
          <w:b/>
        </w:rPr>
      </w:pPr>
    </w:p>
    <w:p w14:paraId="5AD0F445" w14:textId="77777777" w:rsidR="002A34FD" w:rsidRDefault="002A34FD" w:rsidP="00256D4D">
      <w:pPr>
        <w:rPr>
          <w:b/>
        </w:rPr>
      </w:pPr>
    </w:p>
    <w:p w14:paraId="06538764" w14:textId="77777777" w:rsidR="002A34FD" w:rsidRDefault="002A34FD" w:rsidP="00256D4D">
      <w:pPr>
        <w:rPr>
          <w:b/>
        </w:rPr>
      </w:pPr>
    </w:p>
    <w:p w14:paraId="6B602369" w14:textId="77777777" w:rsidR="002A34FD" w:rsidRDefault="002A34FD" w:rsidP="00256D4D">
      <w:pPr>
        <w:rPr>
          <w:b/>
        </w:rPr>
      </w:pPr>
    </w:p>
    <w:p w14:paraId="1C46A05B" w14:textId="77777777" w:rsidR="002A34FD" w:rsidRDefault="002A34FD" w:rsidP="00256D4D">
      <w:pPr>
        <w:rPr>
          <w:b/>
        </w:rPr>
      </w:pPr>
    </w:p>
    <w:p w14:paraId="17B62D28" w14:textId="77777777" w:rsidR="002A34FD" w:rsidRDefault="002A34FD" w:rsidP="00256D4D">
      <w:pPr>
        <w:rPr>
          <w:b/>
        </w:rPr>
      </w:pPr>
    </w:p>
    <w:p w14:paraId="66BA0694" w14:textId="77777777" w:rsidR="002A34FD" w:rsidRDefault="002A34FD" w:rsidP="00256D4D">
      <w:pPr>
        <w:rPr>
          <w:b/>
        </w:rPr>
      </w:pPr>
    </w:p>
    <w:p w14:paraId="25EDC43F" w14:textId="77777777" w:rsidR="002A34FD" w:rsidRDefault="002A34FD" w:rsidP="00256D4D">
      <w:pPr>
        <w:rPr>
          <w:b/>
        </w:rPr>
      </w:pPr>
    </w:p>
    <w:p w14:paraId="49BE0F80" w14:textId="77777777" w:rsidR="002A34FD" w:rsidRDefault="002A34FD" w:rsidP="00256D4D">
      <w:pPr>
        <w:rPr>
          <w:b/>
        </w:rPr>
      </w:pPr>
    </w:p>
    <w:p w14:paraId="1D98BD08" w14:textId="77777777" w:rsidR="002A34FD" w:rsidRDefault="002A34FD" w:rsidP="00256D4D">
      <w:pPr>
        <w:rPr>
          <w:b/>
        </w:rPr>
      </w:pPr>
    </w:p>
    <w:p w14:paraId="06002EE7" w14:textId="77777777" w:rsidR="002A34FD" w:rsidRDefault="002A34FD" w:rsidP="00256D4D">
      <w:pPr>
        <w:rPr>
          <w:b/>
        </w:rPr>
      </w:pPr>
    </w:p>
    <w:p w14:paraId="2B19231E" w14:textId="77777777" w:rsidR="002A34FD" w:rsidRDefault="002A34FD" w:rsidP="00256D4D">
      <w:pPr>
        <w:rPr>
          <w:b/>
        </w:rPr>
      </w:pPr>
    </w:p>
    <w:p w14:paraId="00F232B2" w14:textId="77777777" w:rsidR="002A34FD" w:rsidRDefault="002A34FD" w:rsidP="00256D4D">
      <w:pPr>
        <w:rPr>
          <w:b/>
        </w:rPr>
      </w:pPr>
    </w:p>
    <w:p w14:paraId="2D684518" w14:textId="77777777" w:rsidR="002A34FD" w:rsidRDefault="002A34FD" w:rsidP="00256D4D">
      <w:pPr>
        <w:rPr>
          <w:b/>
        </w:rPr>
      </w:pPr>
    </w:p>
    <w:p w14:paraId="7D9A7955" w14:textId="77777777" w:rsidR="002A34FD" w:rsidRDefault="002A34FD" w:rsidP="00256D4D">
      <w:pPr>
        <w:rPr>
          <w:b/>
        </w:rPr>
      </w:pPr>
    </w:p>
    <w:p w14:paraId="77CE9362" w14:textId="77777777" w:rsidR="002A34FD" w:rsidRDefault="002A34FD" w:rsidP="00256D4D">
      <w:pPr>
        <w:rPr>
          <w:b/>
        </w:rPr>
      </w:pPr>
    </w:p>
    <w:p w14:paraId="00C88A8D" w14:textId="45054FAE" w:rsidR="00256D4D" w:rsidRDefault="00DC58BA" w:rsidP="00256D4D">
      <w:pPr>
        <w:rPr>
          <w:b/>
        </w:rPr>
      </w:pPr>
      <w:r w:rsidRPr="00DC58BA">
        <w:rPr>
          <w:b/>
        </w:rPr>
        <w:t xml:space="preserve">References </w:t>
      </w:r>
    </w:p>
    <w:p w14:paraId="43A4D8DC" w14:textId="77F42B68" w:rsidR="002A34FD" w:rsidRPr="002A34FD" w:rsidRDefault="002A34FD" w:rsidP="002A34FD">
      <w:pPr>
        <w:widowControl w:val="0"/>
        <w:autoSpaceDE w:val="0"/>
        <w:autoSpaceDN w:val="0"/>
        <w:adjustRightInd w:val="0"/>
        <w:spacing w:line="240" w:lineRule="auto"/>
        <w:rPr>
          <w:rFonts w:ascii="Calibri" w:hAnsi="Calibri" w:cs="Calibri"/>
          <w:noProof/>
          <w:szCs w:val="24"/>
        </w:rPr>
      </w:pPr>
      <w:r>
        <w:rPr>
          <w:b/>
        </w:rPr>
        <w:fldChar w:fldCharType="begin" w:fldLock="1"/>
      </w:r>
      <w:r>
        <w:rPr>
          <w:b/>
        </w:rPr>
        <w:instrText xml:space="preserve">ADDIN Mendeley Bibliography CSL_BIBLIOGRAPHY </w:instrText>
      </w:r>
      <w:r>
        <w:rPr>
          <w:b/>
        </w:rPr>
        <w:fldChar w:fldCharType="separate"/>
      </w:r>
      <w:r w:rsidRPr="002A34FD">
        <w:rPr>
          <w:rFonts w:ascii="Calibri" w:hAnsi="Calibri" w:cs="Calibri"/>
          <w:noProof/>
          <w:szCs w:val="24"/>
        </w:rPr>
        <w:t xml:space="preserve">Abalos, E. </w:t>
      </w:r>
      <w:r w:rsidRPr="002A34FD">
        <w:rPr>
          <w:rFonts w:ascii="Calibri" w:hAnsi="Calibri" w:cs="Calibri"/>
          <w:i/>
          <w:iCs/>
          <w:noProof/>
          <w:szCs w:val="24"/>
        </w:rPr>
        <w:t>et al.</w:t>
      </w:r>
      <w:r w:rsidRPr="002A34FD">
        <w:rPr>
          <w:rFonts w:ascii="Calibri" w:hAnsi="Calibri" w:cs="Calibri"/>
          <w:noProof/>
          <w:szCs w:val="24"/>
        </w:rPr>
        <w:t xml:space="preserve"> (2018a) ‘Antihypertensive drug therapy for mild to moderate hypertension during pregnancy’, </w:t>
      </w:r>
      <w:r w:rsidRPr="002A34FD">
        <w:rPr>
          <w:rFonts w:ascii="Calibri" w:hAnsi="Calibri" w:cs="Calibri"/>
          <w:i/>
          <w:iCs/>
          <w:noProof/>
          <w:szCs w:val="24"/>
        </w:rPr>
        <w:t>Cochrane Database of Systematic Reviews</w:t>
      </w:r>
      <w:r w:rsidRPr="002A34FD">
        <w:rPr>
          <w:rFonts w:ascii="Calibri" w:hAnsi="Calibri" w:cs="Calibri"/>
          <w:noProof/>
          <w:szCs w:val="24"/>
        </w:rPr>
        <w:t>. John Wiley and Sons Ltd. doi: 10.1002/14651858.CD002252.pub4.</w:t>
      </w:r>
    </w:p>
    <w:p w14:paraId="2620536E"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Abalos, E. </w:t>
      </w:r>
      <w:r w:rsidRPr="002A34FD">
        <w:rPr>
          <w:rFonts w:ascii="Calibri" w:hAnsi="Calibri" w:cs="Calibri"/>
          <w:i/>
          <w:iCs/>
          <w:noProof/>
          <w:szCs w:val="24"/>
        </w:rPr>
        <w:t>et al.</w:t>
      </w:r>
      <w:r w:rsidRPr="002A34FD">
        <w:rPr>
          <w:rFonts w:ascii="Calibri" w:hAnsi="Calibri" w:cs="Calibri"/>
          <w:noProof/>
          <w:szCs w:val="24"/>
        </w:rPr>
        <w:t xml:space="preserve"> (2018b) ‘Antihypertensive drug therapy for mild to moderate hypertension during pregnancy’, </w:t>
      </w:r>
      <w:r w:rsidRPr="002A34FD">
        <w:rPr>
          <w:rFonts w:ascii="Calibri" w:hAnsi="Calibri" w:cs="Calibri"/>
          <w:i/>
          <w:iCs/>
          <w:noProof/>
          <w:szCs w:val="24"/>
        </w:rPr>
        <w:t>Cochrane Database of Systematic Reviews</w:t>
      </w:r>
      <w:r w:rsidRPr="002A34FD">
        <w:rPr>
          <w:rFonts w:ascii="Calibri" w:hAnsi="Calibri" w:cs="Calibri"/>
          <w:noProof/>
          <w:szCs w:val="24"/>
        </w:rPr>
        <w:t xml:space="preserve">. John Wiley and Sons Ltd, 2018(10). doi: </w:t>
      </w:r>
      <w:r w:rsidRPr="002A34FD">
        <w:rPr>
          <w:rFonts w:ascii="Calibri" w:hAnsi="Calibri" w:cs="Calibri"/>
          <w:noProof/>
          <w:szCs w:val="24"/>
        </w:rPr>
        <w:lastRenderedPageBreak/>
        <w:t>10.1002/14651858.CD002252.pub4.</w:t>
      </w:r>
    </w:p>
    <w:p w14:paraId="412D5ED4"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Abebaw, A., Gudayu, T. W. and Kelkay, B. (2020) ‘Proportion of Immediate Postpartum Anaemia and Associated Factors among Postnatal Mothers in Northwest Ethiopia: A Cross-Sectional Study’, </w:t>
      </w:r>
      <w:r w:rsidRPr="002A34FD">
        <w:rPr>
          <w:rFonts w:ascii="Calibri" w:hAnsi="Calibri" w:cs="Calibri"/>
          <w:i/>
          <w:iCs/>
          <w:noProof/>
          <w:szCs w:val="24"/>
        </w:rPr>
        <w:t>Anemia</w:t>
      </w:r>
      <w:r w:rsidRPr="002A34FD">
        <w:rPr>
          <w:rFonts w:ascii="Calibri" w:hAnsi="Calibri" w:cs="Calibri"/>
          <w:noProof/>
          <w:szCs w:val="24"/>
        </w:rPr>
        <w:t>. Hindawi Limited, 2020. doi: 10.1155/2020/8979740.</w:t>
      </w:r>
    </w:p>
    <w:p w14:paraId="049BC9E1"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Babarinsa, I. A., Hayman, R. G. and Draycott, T. J. (2011) ‘Secondary post-partum haemorrhage: Challenges in evidence-based causes and management’, </w:t>
      </w:r>
      <w:r w:rsidRPr="002A34FD">
        <w:rPr>
          <w:rFonts w:ascii="Calibri" w:hAnsi="Calibri" w:cs="Calibri"/>
          <w:i/>
          <w:iCs/>
          <w:noProof/>
          <w:szCs w:val="24"/>
        </w:rPr>
        <w:t>European Journal of Obstetrics and Gynecology and Reproductive Biology</w:t>
      </w:r>
      <w:r w:rsidRPr="002A34FD">
        <w:rPr>
          <w:rFonts w:ascii="Calibri" w:hAnsi="Calibri" w:cs="Calibri"/>
          <w:noProof/>
          <w:szCs w:val="24"/>
        </w:rPr>
        <w:t>. Elsevier Ireland Ltd, pp. 255–260. doi: 10.1016/j.ejogrb.2011.07.029.</w:t>
      </w:r>
    </w:p>
    <w:p w14:paraId="679C6E90"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Blencowe, H. </w:t>
      </w:r>
      <w:r w:rsidRPr="002A34FD">
        <w:rPr>
          <w:rFonts w:ascii="Calibri" w:hAnsi="Calibri" w:cs="Calibri"/>
          <w:i/>
          <w:iCs/>
          <w:noProof/>
          <w:szCs w:val="24"/>
        </w:rPr>
        <w:t>et al.</w:t>
      </w:r>
      <w:r w:rsidRPr="002A34FD">
        <w:rPr>
          <w:rFonts w:ascii="Calibri" w:hAnsi="Calibri" w:cs="Calibri"/>
          <w:noProof/>
          <w:szCs w:val="24"/>
        </w:rPr>
        <w:t xml:space="preserve"> (2011) ‘Clean birth and postnatal care practices to reduce neonatal deaths from sepsis and tetanus: A systematic review and Delphi estimation of mortality effect’, </w:t>
      </w:r>
      <w:r w:rsidRPr="002A34FD">
        <w:rPr>
          <w:rFonts w:ascii="Calibri" w:hAnsi="Calibri" w:cs="Calibri"/>
          <w:i/>
          <w:iCs/>
          <w:noProof/>
          <w:szCs w:val="24"/>
        </w:rPr>
        <w:t>BMC Public Health</w:t>
      </w:r>
      <w:r w:rsidRPr="002A34FD">
        <w:rPr>
          <w:rFonts w:ascii="Calibri" w:hAnsi="Calibri" w:cs="Calibri"/>
          <w:noProof/>
          <w:szCs w:val="24"/>
        </w:rPr>
        <w:t>. BioMed Central Ltd, 11(SUPPL. 3), p. S11. doi: 10.1186/1471-2458-11-S3-S11.</w:t>
      </w:r>
    </w:p>
    <w:p w14:paraId="774A827F"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Bonet, M. </w:t>
      </w:r>
      <w:r w:rsidRPr="002A34FD">
        <w:rPr>
          <w:rFonts w:ascii="Calibri" w:hAnsi="Calibri" w:cs="Calibri"/>
          <w:i/>
          <w:iCs/>
          <w:noProof/>
          <w:szCs w:val="24"/>
        </w:rPr>
        <w:t>et al.</w:t>
      </w:r>
      <w:r w:rsidRPr="002A34FD">
        <w:rPr>
          <w:rFonts w:ascii="Calibri" w:hAnsi="Calibri" w:cs="Calibri"/>
          <w:noProof/>
          <w:szCs w:val="24"/>
        </w:rPr>
        <w:t xml:space="preserve"> (2020) ‘Frequency and management of maternal infection in health facilities in 52 countries (GLOSS): a 1-week inception cohort study’, </w:t>
      </w:r>
      <w:r w:rsidRPr="002A34FD">
        <w:rPr>
          <w:rFonts w:ascii="Calibri" w:hAnsi="Calibri" w:cs="Calibri"/>
          <w:i/>
          <w:iCs/>
          <w:noProof/>
          <w:szCs w:val="24"/>
        </w:rPr>
        <w:t>The Lancet Global Health</w:t>
      </w:r>
      <w:r w:rsidRPr="002A34FD">
        <w:rPr>
          <w:rFonts w:ascii="Calibri" w:hAnsi="Calibri" w:cs="Calibri"/>
          <w:noProof/>
          <w:szCs w:val="24"/>
        </w:rPr>
        <w:t>. Elsevier Ltd, 8(5), pp. e661–e671. doi: 10.1016/S2214-109X(20)30109-1.</w:t>
      </w:r>
    </w:p>
    <w:p w14:paraId="007D2978"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Chan, G. J. </w:t>
      </w:r>
      <w:r w:rsidRPr="002A34FD">
        <w:rPr>
          <w:rFonts w:ascii="Calibri" w:hAnsi="Calibri" w:cs="Calibri"/>
          <w:i/>
          <w:iCs/>
          <w:noProof/>
          <w:szCs w:val="24"/>
        </w:rPr>
        <w:t>et al.</w:t>
      </w:r>
      <w:r w:rsidRPr="002A34FD">
        <w:rPr>
          <w:rFonts w:ascii="Calibri" w:hAnsi="Calibri" w:cs="Calibri"/>
          <w:noProof/>
          <w:szCs w:val="24"/>
        </w:rPr>
        <w:t xml:space="preserve"> (2015) ‘Prevalence of early-onset neonatal infection among newborns of mothers with bacterial infection or colonization: a systematic review and meta-analysis’. doi: 10.1186/s12879-015-0813-3.</w:t>
      </w:r>
    </w:p>
    <w:p w14:paraId="5CAC8049"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Changole, J. </w:t>
      </w:r>
      <w:r w:rsidRPr="002A34FD">
        <w:rPr>
          <w:rFonts w:ascii="Calibri" w:hAnsi="Calibri" w:cs="Calibri"/>
          <w:i/>
          <w:iCs/>
          <w:noProof/>
          <w:szCs w:val="24"/>
        </w:rPr>
        <w:t>et al.</w:t>
      </w:r>
      <w:r w:rsidRPr="002A34FD">
        <w:rPr>
          <w:rFonts w:ascii="Calibri" w:hAnsi="Calibri" w:cs="Calibri"/>
          <w:noProof/>
          <w:szCs w:val="24"/>
        </w:rPr>
        <w:t xml:space="preserve"> (2019) ‘Community perceptions of obstetric fistula in Malawi’, </w:t>
      </w:r>
      <w:r w:rsidRPr="002A34FD">
        <w:rPr>
          <w:rFonts w:ascii="Calibri" w:hAnsi="Calibri" w:cs="Calibri"/>
          <w:i/>
          <w:iCs/>
          <w:noProof/>
          <w:szCs w:val="24"/>
        </w:rPr>
        <w:t>Culture, Health and Sexuality</w:t>
      </w:r>
      <w:r w:rsidRPr="002A34FD">
        <w:rPr>
          <w:rFonts w:ascii="Calibri" w:hAnsi="Calibri" w:cs="Calibri"/>
          <w:noProof/>
          <w:szCs w:val="24"/>
        </w:rPr>
        <w:t>. Routledge, 21(5), pp. 605–617. doi: 10.1080/13691058.2018.1497813.</w:t>
      </w:r>
    </w:p>
    <w:p w14:paraId="60C26A5A"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Changole, J., Combs Thorsen, V. and Kafulafula, U. (2018) ‘A road to obstetric fistula in Malawi: capturing women&amp;rsquo;s perspectives through a framework of three delays’, </w:t>
      </w:r>
      <w:r w:rsidRPr="002A34FD">
        <w:rPr>
          <w:rFonts w:ascii="Calibri" w:hAnsi="Calibri" w:cs="Calibri"/>
          <w:i/>
          <w:iCs/>
          <w:noProof/>
          <w:szCs w:val="24"/>
        </w:rPr>
        <w:t>International Journal of Women’s Health</w:t>
      </w:r>
      <w:r w:rsidRPr="002A34FD">
        <w:rPr>
          <w:rFonts w:ascii="Calibri" w:hAnsi="Calibri" w:cs="Calibri"/>
          <w:noProof/>
          <w:szCs w:val="24"/>
        </w:rPr>
        <w:t>. Dove Medical Press Ltd, Volume 10, pp. 699–713. doi: 10.2147/IJWH.S171610.</w:t>
      </w:r>
    </w:p>
    <w:p w14:paraId="1D76F157"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Cousens, S. </w:t>
      </w:r>
      <w:r w:rsidRPr="002A34FD">
        <w:rPr>
          <w:rFonts w:ascii="Calibri" w:hAnsi="Calibri" w:cs="Calibri"/>
          <w:i/>
          <w:iCs/>
          <w:noProof/>
          <w:szCs w:val="24"/>
        </w:rPr>
        <w:t>et al.</w:t>
      </w:r>
      <w:r w:rsidRPr="002A34FD">
        <w:rPr>
          <w:rFonts w:ascii="Calibri" w:hAnsi="Calibri" w:cs="Calibri"/>
          <w:noProof/>
          <w:szCs w:val="24"/>
        </w:rPr>
        <w:t xml:space="preserve"> (2010) ‘Antibiotics for pre-term pre-labour rupture of membranes: Prevention of neonatal deaths due to complications of pre-term birth and infection’, </w:t>
      </w:r>
      <w:r w:rsidRPr="002A34FD">
        <w:rPr>
          <w:rFonts w:ascii="Calibri" w:hAnsi="Calibri" w:cs="Calibri"/>
          <w:i/>
          <w:iCs/>
          <w:noProof/>
          <w:szCs w:val="24"/>
        </w:rPr>
        <w:t>International Journal of Epidemiology</w:t>
      </w:r>
      <w:r w:rsidRPr="002A34FD">
        <w:rPr>
          <w:rFonts w:ascii="Calibri" w:hAnsi="Calibri" w:cs="Calibri"/>
          <w:noProof/>
          <w:szCs w:val="24"/>
        </w:rPr>
        <w:t>. Oxford University Press, 39(SUPPL. 1), p. i134. doi: 10.1093/ije/dyq030.</w:t>
      </w:r>
    </w:p>
    <w:p w14:paraId="771546A2"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Dalton, E. and Castillo, E. (2014) ‘Post partum infections: A review for the non-OBGYN’, </w:t>
      </w:r>
      <w:r w:rsidRPr="002A34FD">
        <w:rPr>
          <w:rFonts w:ascii="Calibri" w:hAnsi="Calibri" w:cs="Calibri"/>
          <w:i/>
          <w:iCs/>
          <w:noProof/>
          <w:szCs w:val="24"/>
        </w:rPr>
        <w:t>Obstetric Medicine</w:t>
      </w:r>
      <w:r w:rsidRPr="002A34FD">
        <w:rPr>
          <w:rFonts w:ascii="Calibri" w:hAnsi="Calibri" w:cs="Calibri"/>
          <w:noProof/>
          <w:szCs w:val="24"/>
        </w:rPr>
        <w:t>. Royal Society of Medicine Press Ltd, 7(3), pp. 98–102. doi: 10.1177/1753495X14522784.</w:t>
      </w:r>
    </w:p>
    <w:p w14:paraId="06439F41"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Daru, J. </w:t>
      </w:r>
      <w:r w:rsidRPr="002A34FD">
        <w:rPr>
          <w:rFonts w:ascii="Calibri" w:hAnsi="Calibri" w:cs="Calibri"/>
          <w:i/>
          <w:iCs/>
          <w:noProof/>
          <w:szCs w:val="24"/>
        </w:rPr>
        <w:t>et al.</w:t>
      </w:r>
      <w:r w:rsidRPr="002A34FD">
        <w:rPr>
          <w:rFonts w:ascii="Calibri" w:hAnsi="Calibri" w:cs="Calibri"/>
          <w:noProof/>
          <w:szCs w:val="24"/>
        </w:rPr>
        <w:t xml:space="preserve"> (2018) ‘Risk of maternal mortality in women with severe anaemia during pregnancy and post partum: a multilevel analysis’, </w:t>
      </w:r>
      <w:r w:rsidRPr="002A34FD">
        <w:rPr>
          <w:rFonts w:ascii="Calibri" w:hAnsi="Calibri" w:cs="Calibri"/>
          <w:i/>
          <w:iCs/>
          <w:noProof/>
          <w:szCs w:val="24"/>
        </w:rPr>
        <w:t>The Lancet Global Health</w:t>
      </w:r>
      <w:r w:rsidRPr="002A34FD">
        <w:rPr>
          <w:rFonts w:ascii="Calibri" w:hAnsi="Calibri" w:cs="Calibri"/>
          <w:noProof/>
          <w:szCs w:val="24"/>
        </w:rPr>
        <w:t>. Elsevier Ltd, 6(5), pp. e548–e554. doi: 10.1016/S2214-109X(18)30078-0.</w:t>
      </w:r>
    </w:p>
    <w:p w14:paraId="6B413164"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Debeche-Adams, T. H. and Bohl, J. L. (2010) ‘Rectovaginal fistulas’, </w:t>
      </w:r>
      <w:r w:rsidRPr="002A34FD">
        <w:rPr>
          <w:rFonts w:ascii="Calibri" w:hAnsi="Calibri" w:cs="Calibri"/>
          <w:i/>
          <w:iCs/>
          <w:noProof/>
          <w:szCs w:val="24"/>
        </w:rPr>
        <w:t>Clinics in Colon and Rectal Surgery</w:t>
      </w:r>
      <w:r w:rsidRPr="002A34FD">
        <w:rPr>
          <w:rFonts w:ascii="Calibri" w:hAnsi="Calibri" w:cs="Calibri"/>
          <w:noProof/>
          <w:szCs w:val="24"/>
        </w:rPr>
        <w:t>. Thieme Medical Publishers, 23(2), pp. 99–103. doi: 10.1055/s-0030-1254296.</w:t>
      </w:r>
    </w:p>
    <w:p w14:paraId="3F10ACAF"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Drew, L. B. </w:t>
      </w:r>
      <w:r w:rsidRPr="002A34FD">
        <w:rPr>
          <w:rFonts w:ascii="Calibri" w:hAnsi="Calibri" w:cs="Calibri"/>
          <w:i/>
          <w:iCs/>
          <w:noProof/>
          <w:szCs w:val="24"/>
        </w:rPr>
        <w:t>et al.</w:t>
      </w:r>
      <w:r w:rsidRPr="002A34FD">
        <w:rPr>
          <w:rFonts w:ascii="Calibri" w:hAnsi="Calibri" w:cs="Calibri"/>
          <w:noProof/>
          <w:szCs w:val="24"/>
        </w:rPr>
        <w:t xml:space="preserve"> (2016) ‘Long-term outcomes for women after obstetric fistula repair in Lilongwe, Malawi: A qualitative study’, </w:t>
      </w:r>
      <w:r w:rsidRPr="002A34FD">
        <w:rPr>
          <w:rFonts w:ascii="Calibri" w:hAnsi="Calibri" w:cs="Calibri"/>
          <w:i/>
          <w:iCs/>
          <w:noProof/>
          <w:szCs w:val="24"/>
        </w:rPr>
        <w:t>BMC Pregnancy and Childbirth</w:t>
      </w:r>
      <w:r w:rsidRPr="002A34FD">
        <w:rPr>
          <w:rFonts w:ascii="Calibri" w:hAnsi="Calibri" w:cs="Calibri"/>
          <w:noProof/>
          <w:szCs w:val="24"/>
        </w:rPr>
        <w:t>. BioMed Central Ltd., 16(1), p. 2. doi: 10.1186/s12884-015-0755-1.</w:t>
      </w:r>
    </w:p>
    <w:p w14:paraId="7DBD8A04"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Duley, L. </w:t>
      </w:r>
      <w:r w:rsidRPr="002A34FD">
        <w:rPr>
          <w:rFonts w:ascii="Calibri" w:hAnsi="Calibri" w:cs="Calibri"/>
          <w:i/>
          <w:iCs/>
          <w:noProof/>
          <w:szCs w:val="24"/>
        </w:rPr>
        <w:t>et al.</w:t>
      </w:r>
      <w:r w:rsidRPr="002A34FD">
        <w:rPr>
          <w:rFonts w:ascii="Calibri" w:hAnsi="Calibri" w:cs="Calibri"/>
          <w:noProof/>
          <w:szCs w:val="24"/>
        </w:rPr>
        <w:t xml:space="preserve"> (2010) ‘Magnesium sulphate and other anticonvulsants for women with pre-eclampsia’, </w:t>
      </w:r>
      <w:r w:rsidRPr="002A34FD">
        <w:rPr>
          <w:rFonts w:ascii="Calibri" w:hAnsi="Calibri" w:cs="Calibri"/>
          <w:i/>
          <w:iCs/>
          <w:noProof/>
          <w:szCs w:val="24"/>
        </w:rPr>
        <w:t>Cochrane Database of Systematic Reviews</w:t>
      </w:r>
      <w:r w:rsidRPr="002A34FD">
        <w:rPr>
          <w:rFonts w:ascii="Calibri" w:hAnsi="Calibri" w:cs="Calibri"/>
          <w:noProof/>
          <w:szCs w:val="24"/>
        </w:rPr>
        <w:t>. John Wiley &amp; Sons, Ltd, (11). doi: 10.1002/14651858.CD000025.pub2.</w:t>
      </w:r>
    </w:p>
    <w:p w14:paraId="6B64B07D"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Goel, A. </w:t>
      </w:r>
      <w:r w:rsidRPr="002A34FD">
        <w:rPr>
          <w:rFonts w:ascii="Calibri" w:hAnsi="Calibri" w:cs="Calibri"/>
          <w:i/>
          <w:iCs/>
          <w:noProof/>
          <w:szCs w:val="24"/>
        </w:rPr>
        <w:t>et al.</w:t>
      </w:r>
      <w:r w:rsidRPr="002A34FD">
        <w:rPr>
          <w:rFonts w:ascii="Calibri" w:hAnsi="Calibri" w:cs="Calibri"/>
          <w:noProof/>
          <w:szCs w:val="24"/>
        </w:rPr>
        <w:t xml:space="preserve"> (2015) ‘Epidemiology and mechanisms of de novo and persistent hypertension in the postpartum period’, </w:t>
      </w:r>
      <w:r w:rsidRPr="002A34FD">
        <w:rPr>
          <w:rFonts w:ascii="Calibri" w:hAnsi="Calibri" w:cs="Calibri"/>
          <w:i/>
          <w:iCs/>
          <w:noProof/>
          <w:szCs w:val="24"/>
        </w:rPr>
        <w:t>Circulation</w:t>
      </w:r>
      <w:r w:rsidRPr="002A34FD">
        <w:rPr>
          <w:rFonts w:ascii="Calibri" w:hAnsi="Calibri" w:cs="Calibri"/>
          <w:noProof/>
          <w:szCs w:val="24"/>
        </w:rPr>
        <w:t>. Lippincott Williams and Wilkins, 132(18), pp. 1726–1733. doi: 10.1161/CIRCULATIONAHA.115.015721.</w:t>
      </w:r>
    </w:p>
    <w:p w14:paraId="10D3A120"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Government of the Republic of Malawi (2017) </w:t>
      </w:r>
      <w:r w:rsidRPr="002A34FD">
        <w:rPr>
          <w:rFonts w:ascii="Calibri" w:hAnsi="Calibri" w:cs="Calibri"/>
          <w:i/>
          <w:iCs/>
          <w:noProof/>
          <w:szCs w:val="24"/>
        </w:rPr>
        <w:t>Health Sector Strategic Plan II (2017-2022)</w:t>
      </w:r>
      <w:r w:rsidRPr="002A34FD">
        <w:rPr>
          <w:rFonts w:ascii="Calibri" w:hAnsi="Calibri" w:cs="Calibri"/>
          <w:noProof/>
          <w:szCs w:val="24"/>
        </w:rPr>
        <w:t>.</w:t>
      </w:r>
    </w:p>
    <w:p w14:paraId="21D909E4"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lastRenderedPageBreak/>
        <w:t xml:space="preserve">Kalilani-Phiri, L. V. </w:t>
      </w:r>
      <w:r w:rsidRPr="002A34FD">
        <w:rPr>
          <w:rFonts w:ascii="Calibri" w:hAnsi="Calibri" w:cs="Calibri"/>
          <w:i/>
          <w:iCs/>
          <w:noProof/>
          <w:szCs w:val="24"/>
        </w:rPr>
        <w:t>et al.</w:t>
      </w:r>
      <w:r w:rsidRPr="002A34FD">
        <w:rPr>
          <w:rFonts w:ascii="Calibri" w:hAnsi="Calibri" w:cs="Calibri"/>
          <w:noProof/>
          <w:szCs w:val="24"/>
        </w:rPr>
        <w:t xml:space="preserve"> (2010) ‘Prevalence of obstetric fistula in Malawi’, </w:t>
      </w:r>
      <w:r w:rsidRPr="002A34FD">
        <w:rPr>
          <w:rFonts w:ascii="Calibri" w:hAnsi="Calibri" w:cs="Calibri"/>
          <w:i/>
          <w:iCs/>
          <w:noProof/>
          <w:szCs w:val="24"/>
        </w:rPr>
        <w:t>International Journal of Gynecology &amp; Obstetrics</w:t>
      </w:r>
      <w:r w:rsidRPr="002A34FD">
        <w:rPr>
          <w:rFonts w:ascii="Calibri" w:hAnsi="Calibri" w:cs="Calibri"/>
          <w:noProof/>
          <w:szCs w:val="24"/>
        </w:rPr>
        <w:t>. No longer published by Elsevier, 109(3), pp. 204–208. doi: 10.1016/j.ijgo.2009.12.019.</w:t>
      </w:r>
    </w:p>
    <w:p w14:paraId="1E5D2B53"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Khaki, J. J. and Sithole, L. (2019) ‘Factors associated with the utilization of postnatal care services among malawian women’, </w:t>
      </w:r>
      <w:r w:rsidRPr="002A34FD">
        <w:rPr>
          <w:rFonts w:ascii="Calibri" w:hAnsi="Calibri" w:cs="Calibri"/>
          <w:i/>
          <w:iCs/>
          <w:noProof/>
          <w:szCs w:val="24"/>
        </w:rPr>
        <w:t>Malawi Medical Journal</w:t>
      </w:r>
      <w:r w:rsidRPr="002A34FD">
        <w:rPr>
          <w:rFonts w:ascii="Calibri" w:hAnsi="Calibri" w:cs="Calibri"/>
          <w:noProof/>
          <w:szCs w:val="24"/>
        </w:rPr>
        <w:t>. Malawi Medical Journal, 31(1), pp. 2–11. doi: 10.4314/mmj.v31i1.2.</w:t>
      </w:r>
    </w:p>
    <w:p w14:paraId="7753CB2B"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Kim, E. T. </w:t>
      </w:r>
      <w:r w:rsidRPr="002A34FD">
        <w:rPr>
          <w:rFonts w:ascii="Calibri" w:hAnsi="Calibri" w:cs="Calibri"/>
          <w:i/>
          <w:iCs/>
          <w:noProof/>
          <w:szCs w:val="24"/>
        </w:rPr>
        <w:t>et al.</w:t>
      </w:r>
      <w:r w:rsidRPr="002A34FD">
        <w:rPr>
          <w:rFonts w:ascii="Calibri" w:hAnsi="Calibri" w:cs="Calibri"/>
          <w:noProof/>
          <w:szCs w:val="24"/>
        </w:rPr>
        <w:t xml:space="preserve"> (2019) ‘Availability of health facilities and utilization of maternal and newborn postnatal care in rural Malawi’, </w:t>
      </w:r>
      <w:r w:rsidRPr="002A34FD">
        <w:rPr>
          <w:rFonts w:ascii="Calibri" w:hAnsi="Calibri" w:cs="Calibri"/>
          <w:i/>
          <w:iCs/>
          <w:noProof/>
          <w:szCs w:val="24"/>
        </w:rPr>
        <w:t>BMC Pregnancy and Childbirth</w:t>
      </w:r>
      <w:r w:rsidRPr="002A34FD">
        <w:rPr>
          <w:rFonts w:ascii="Calibri" w:hAnsi="Calibri" w:cs="Calibri"/>
          <w:noProof/>
          <w:szCs w:val="24"/>
        </w:rPr>
        <w:t>, 19(1), p. 503. doi: 10.1186/s12884-019-2534-x.</w:t>
      </w:r>
    </w:p>
    <w:p w14:paraId="64A61D6A"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Kofie, P. </w:t>
      </w:r>
      <w:r w:rsidRPr="002A34FD">
        <w:rPr>
          <w:rFonts w:ascii="Calibri" w:hAnsi="Calibri" w:cs="Calibri"/>
          <w:i/>
          <w:iCs/>
          <w:noProof/>
          <w:szCs w:val="24"/>
        </w:rPr>
        <w:t>et al.</w:t>
      </w:r>
      <w:r w:rsidRPr="002A34FD">
        <w:rPr>
          <w:rFonts w:ascii="Calibri" w:hAnsi="Calibri" w:cs="Calibri"/>
          <w:noProof/>
          <w:szCs w:val="24"/>
        </w:rPr>
        <w:t xml:space="preserve"> (2019) ‘Prevalence and associated risk factors of anaemia among women attending antenatal and post-natal clinics at a public health facility in Ghana’, </w:t>
      </w:r>
      <w:r w:rsidRPr="002A34FD">
        <w:rPr>
          <w:rFonts w:ascii="Calibri" w:hAnsi="Calibri" w:cs="Calibri"/>
          <w:i/>
          <w:iCs/>
          <w:noProof/>
          <w:szCs w:val="24"/>
        </w:rPr>
        <w:t>BMC Nutrition</w:t>
      </w:r>
      <w:r w:rsidRPr="002A34FD">
        <w:rPr>
          <w:rFonts w:ascii="Calibri" w:hAnsi="Calibri" w:cs="Calibri"/>
          <w:noProof/>
          <w:szCs w:val="24"/>
        </w:rPr>
        <w:t>. BioMed Central, 5(1), p. 40. doi: 10.1186/s40795-019-0303-x.</w:t>
      </w:r>
    </w:p>
    <w:p w14:paraId="53C361D2"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M Aiken, C. E., Mehasseb, M. K. and Prentice, A. (2012) ‘SECONDARY POSTPARTUM HAEMORRHAGE’, </w:t>
      </w:r>
      <w:r w:rsidRPr="002A34FD">
        <w:rPr>
          <w:rFonts w:ascii="Calibri" w:hAnsi="Calibri" w:cs="Calibri"/>
          <w:i/>
          <w:iCs/>
          <w:noProof/>
          <w:szCs w:val="24"/>
        </w:rPr>
        <w:t>Fetal and Maternal Medicine Review</w:t>
      </w:r>
      <w:r w:rsidRPr="002A34FD">
        <w:rPr>
          <w:rFonts w:ascii="Calibri" w:hAnsi="Calibri" w:cs="Calibri"/>
          <w:noProof/>
          <w:szCs w:val="24"/>
        </w:rPr>
        <w:t>. Cambridge University Press, 23, pp. 1–1. doi: 10.1017/S096553951100012X.</w:t>
      </w:r>
    </w:p>
    <w:p w14:paraId="098C87DD"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Machira, K. and Palamulen, M. (2017) ‘Rural–urban differences in the use of postnatal care services in Malawi’, </w:t>
      </w:r>
      <w:r w:rsidRPr="002A34FD">
        <w:rPr>
          <w:rFonts w:ascii="Calibri" w:hAnsi="Calibri" w:cs="Calibri"/>
          <w:i/>
          <w:iCs/>
          <w:noProof/>
          <w:szCs w:val="24"/>
        </w:rPr>
        <w:t>Journal of Egyptian Public Health Association</w:t>
      </w:r>
      <w:r w:rsidRPr="002A34FD">
        <w:rPr>
          <w:rFonts w:ascii="Calibri" w:hAnsi="Calibri" w:cs="Calibri"/>
          <w:noProof/>
          <w:szCs w:val="24"/>
        </w:rPr>
        <w:t>. Egypts Presidential Specialized Council for Education and Scientific Research, 92(1), pp. 1–10. doi: 10.21608/epx.2017.7003.</w:t>
      </w:r>
    </w:p>
    <w:p w14:paraId="6F44E334"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Malawi Ministry of Health (2012) </w:t>
      </w:r>
      <w:r w:rsidRPr="002A34FD">
        <w:rPr>
          <w:rFonts w:ascii="Calibri" w:hAnsi="Calibri" w:cs="Calibri"/>
          <w:i/>
          <w:iCs/>
          <w:noProof/>
          <w:szCs w:val="24"/>
        </w:rPr>
        <w:t>Road Map for Accelerating the reduction of Maternal and Neonatal Morbidity and Mortality in Malawi</w:t>
      </w:r>
      <w:r w:rsidRPr="002A34FD">
        <w:rPr>
          <w:rFonts w:ascii="Calibri" w:hAnsi="Calibri" w:cs="Calibri"/>
          <w:noProof/>
          <w:szCs w:val="24"/>
        </w:rPr>
        <w:t>.</w:t>
      </w:r>
    </w:p>
    <w:p w14:paraId="40CD2B64"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Matthys, L. A. </w:t>
      </w:r>
      <w:r w:rsidRPr="002A34FD">
        <w:rPr>
          <w:rFonts w:ascii="Calibri" w:hAnsi="Calibri" w:cs="Calibri"/>
          <w:i/>
          <w:iCs/>
          <w:noProof/>
          <w:szCs w:val="24"/>
        </w:rPr>
        <w:t>et al.</w:t>
      </w:r>
      <w:r w:rsidRPr="002A34FD">
        <w:rPr>
          <w:rFonts w:ascii="Calibri" w:hAnsi="Calibri" w:cs="Calibri"/>
          <w:noProof/>
          <w:szCs w:val="24"/>
        </w:rPr>
        <w:t xml:space="preserve"> (2004) ‘Delayed postpartum preeclampsia: An experience of 151 cases’, </w:t>
      </w:r>
      <w:r w:rsidRPr="002A34FD">
        <w:rPr>
          <w:rFonts w:ascii="Calibri" w:hAnsi="Calibri" w:cs="Calibri"/>
          <w:i/>
          <w:iCs/>
          <w:noProof/>
          <w:szCs w:val="24"/>
        </w:rPr>
        <w:t>American Journal of Obstetrics and Gynecology</w:t>
      </w:r>
      <w:r w:rsidRPr="002A34FD">
        <w:rPr>
          <w:rFonts w:ascii="Calibri" w:hAnsi="Calibri" w:cs="Calibri"/>
          <w:noProof/>
          <w:szCs w:val="24"/>
        </w:rPr>
        <w:t>. Mosby Inc., 190(5), pp. 1464–1466. doi: 10.1016/j.ajog.2004.02.037.</w:t>
      </w:r>
    </w:p>
    <w:p w14:paraId="1A066B94"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Oza, S. </w:t>
      </w:r>
      <w:r w:rsidRPr="002A34FD">
        <w:rPr>
          <w:rFonts w:ascii="Calibri" w:hAnsi="Calibri" w:cs="Calibri"/>
          <w:i/>
          <w:iCs/>
          <w:noProof/>
          <w:szCs w:val="24"/>
        </w:rPr>
        <w:t>et al.</w:t>
      </w:r>
      <w:r w:rsidRPr="002A34FD">
        <w:rPr>
          <w:rFonts w:ascii="Calibri" w:hAnsi="Calibri" w:cs="Calibri"/>
          <w:noProof/>
          <w:szCs w:val="24"/>
        </w:rPr>
        <w:t xml:space="preserve"> (2015) ‘Neonatal cause-of-death estimates for the early and late neonatal periods for 194 countries: 2000-2013’, </w:t>
      </w:r>
      <w:r w:rsidRPr="002A34FD">
        <w:rPr>
          <w:rFonts w:ascii="Calibri" w:hAnsi="Calibri" w:cs="Calibri"/>
          <w:i/>
          <w:iCs/>
          <w:noProof/>
          <w:szCs w:val="24"/>
        </w:rPr>
        <w:t>Bull World Health Organ</w:t>
      </w:r>
      <w:r w:rsidRPr="002A34FD">
        <w:rPr>
          <w:rFonts w:ascii="Calibri" w:hAnsi="Calibri" w:cs="Calibri"/>
          <w:noProof/>
          <w:szCs w:val="24"/>
        </w:rPr>
        <w:t>, 93, pp. 19–28. doi: 10.2471/BLT.14.139790.</w:t>
      </w:r>
    </w:p>
    <w:p w14:paraId="0359D4DA"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Peña-Rosas, J. P. </w:t>
      </w:r>
      <w:r w:rsidRPr="002A34FD">
        <w:rPr>
          <w:rFonts w:ascii="Calibri" w:hAnsi="Calibri" w:cs="Calibri"/>
          <w:i/>
          <w:iCs/>
          <w:noProof/>
          <w:szCs w:val="24"/>
        </w:rPr>
        <w:t>et al.</w:t>
      </w:r>
      <w:r w:rsidRPr="002A34FD">
        <w:rPr>
          <w:rFonts w:ascii="Calibri" w:hAnsi="Calibri" w:cs="Calibri"/>
          <w:noProof/>
          <w:szCs w:val="24"/>
        </w:rPr>
        <w:t xml:space="preserve"> (2015) ‘Daily oral iron supplementation during pregnancy’, </w:t>
      </w:r>
      <w:r w:rsidRPr="002A34FD">
        <w:rPr>
          <w:rFonts w:ascii="Calibri" w:hAnsi="Calibri" w:cs="Calibri"/>
          <w:i/>
          <w:iCs/>
          <w:noProof/>
          <w:szCs w:val="24"/>
        </w:rPr>
        <w:t>Cochrane Database of Systematic Reviews</w:t>
      </w:r>
      <w:r w:rsidRPr="002A34FD">
        <w:rPr>
          <w:rFonts w:ascii="Calibri" w:hAnsi="Calibri" w:cs="Calibri"/>
          <w:noProof/>
          <w:szCs w:val="24"/>
        </w:rPr>
        <w:t>. John Wiley and Sons Ltd, pp. 1–527. doi: 10.1002/14651858.CD004736.pub5.</w:t>
      </w:r>
    </w:p>
    <w:p w14:paraId="284758A2"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Pollard, S. L., Mathai, M. and Walker, N. (2013a) </w:t>
      </w:r>
      <w:r w:rsidRPr="002A34FD">
        <w:rPr>
          <w:rFonts w:ascii="Calibri" w:hAnsi="Calibri" w:cs="Calibri"/>
          <w:i/>
          <w:iCs/>
          <w:noProof/>
          <w:szCs w:val="24"/>
        </w:rPr>
        <w:t>Estimating the impact of interventions on cause-specific maternal mortality: a Delphi approach</w:t>
      </w:r>
      <w:r w:rsidRPr="002A34FD">
        <w:rPr>
          <w:rFonts w:ascii="Calibri" w:hAnsi="Calibri" w:cs="Calibri"/>
          <w:noProof/>
          <w:szCs w:val="24"/>
        </w:rPr>
        <w:t xml:space="preserve">, </w:t>
      </w:r>
      <w:r w:rsidRPr="002A34FD">
        <w:rPr>
          <w:rFonts w:ascii="Calibri" w:hAnsi="Calibri" w:cs="Calibri"/>
          <w:i/>
          <w:iCs/>
          <w:noProof/>
          <w:szCs w:val="24"/>
        </w:rPr>
        <w:t>BMC Public Health</w:t>
      </w:r>
      <w:r w:rsidRPr="002A34FD">
        <w:rPr>
          <w:rFonts w:ascii="Calibri" w:hAnsi="Calibri" w:cs="Calibri"/>
          <w:noProof/>
          <w:szCs w:val="24"/>
        </w:rPr>
        <w:t>. doi: 10.1186/1471-2458-13-S3-S12.</w:t>
      </w:r>
    </w:p>
    <w:p w14:paraId="5420037C"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Pollard, S. L., Mathai, M. and Walker, N. (2013b) ‘Estimating the impact of interventions on cause-specific maternal mortality: A Delphi approach’, </w:t>
      </w:r>
      <w:r w:rsidRPr="002A34FD">
        <w:rPr>
          <w:rFonts w:ascii="Calibri" w:hAnsi="Calibri" w:cs="Calibri"/>
          <w:i/>
          <w:iCs/>
          <w:noProof/>
          <w:szCs w:val="24"/>
        </w:rPr>
        <w:t>BMC Public Health</w:t>
      </w:r>
      <w:r w:rsidRPr="002A34FD">
        <w:rPr>
          <w:rFonts w:ascii="Calibri" w:hAnsi="Calibri" w:cs="Calibri"/>
          <w:noProof/>
          <w:szCs w:val="24"/>
        </w:rPr>
        <w:t>. BioMed Central, p. S12. doi: 10.1186/1471-2458-13-S3-S12.</w:t>
      </w:r>
    </w:p>
    <w:p w14:paraId="6B329492"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Sibai, B. M. (2012) ‘Etiology and management of postpartum hypertension-preeclampsia’, </w:t>
      </w:r>
      <w:r w:rsidRPr="002A34FD">
        <w:rPr>
          <w:rFonts w:ascii="Calibri" w:hAnsi="Calibri" w:cs="Calibri"/>
          <w:i/>
          <w:iCs/>
          <w:noProof/>
          <w:szCs w:val="24"/>
        </w:rPr>
        <w:t>American Journal of Obstetrics and Gynecology</w:t>
      </w:r>
      <w:r w:rsidRPr="002A34FD">
        <w:rPr>
          <w:rFonts w:ascii="Calibri" w:hAnsi="Calibri" w:cs="Calibri"/>
          <w:noProof/>
          <w:szCs w:val="24"/>
        </w:rPr>
        <w:t>. Am J Obstet Gynecol, 206(6), pp. 470–475. doi: 10.1016/j.ajog.2011.09.002.</w:t>
      </w:r>
    </w:p>
    <w:p w14:paraId="0E7A8DCB"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Simonsen, K. A. </w:t>
      </w:r>
      <w:r w:rsidRPr="002A34FD">
        <w:rPr>
          <w:rFonts w:ascii="Calibri" w:hAnsi="Calibri" w:cs="Calibri"/>
          <w:i/>
          <w:iCs/>
          <w:noProof/>
          <w:szCs w:val="24"/>
        </w:rPr>
        <w:t>et al.</w:t>
      </w:r>
      <w:r w:rsidRPr="002A34FD">
        <w:rPr>
          <w:rFonts w:ascii="Calibri" w:hAnsi="Calibri" w:cs="Calibri"/>
          <w:noProof/>
          <w:szCs w:val="24"/>
        </w:rPr>
        <w:t xml:space="preserve"> (2014) ‘Early-onset neonatal sepsis’, </w:t>
      </w:r>
      <w:r w:rsidRPr="002A34FD">
        <w:rPr>
          <w:rFonts w:ascii="Calibri" w:hAnsi="Calibri" w:cs="Calibri"/>
          <w:i/>
          <w:iCs/>
          <w:noProof/>
          <w:szCs w:val="24"/>
        </w:rPr>
        <w:t>Clinical Microbiology Reviews</w:t>
      </w:r>
      <w:r w:rsidRPr="002A34FD">
        <w:rPr>
          <w:rFonts w:ascii="Calibri" w:hAnsi="Calibri" w:cs="Calibri"/>
          <w:noProof/>
          <w:szCs w:val="24"/>
        </w:rPr>
        <w:t>. American Society for Microbiology (ASM), 27(1), pp. 21–47. doi: 10.1128/CMR.00031-13.</w:t>
      </w:r>
    </w:p>
    <w:p w14:paraId="0E9E55D4"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Stamatakos, M. </w:t>
      </w:r>
      <w:r w:rsidRPr="002A34FD">
        <w:rPr>
          <w:rFonts w:ascii="Calibri" w:hAnsi="Calibri" w:cs="Calibri"/>
          <w:i/>
          <w:iCs/>
          <w:noProof/>
          <w:szCs w:val="24"/>
        </w:rPr>
        <w:t>et al.</w:t>
      </w:r>
      <w:r w:rsidRPr="002A34FD">
        <w:rPr>
          <w:rFonts w:ascii="Calibri" w:hAnsi="Calibri" w:cs="Calibri"/>
          <w:noProof/>
          <w:szCs w:val="24"/>
        </w:rPr>
        <w:t xml:space="preserve"> (2014) ‘Vesicovaginal Fistula: Diagnosis and Management’, </w:t>
      </w:r>
      <w:r w:rsidRPr="002A34FD">
        <w:rPr>
          <w:rFonts w:ascii="Calibri" w:hAnsi="Calibri" w:cs="Calibri"/>
          <w:i/>
          <w:iCs/>
          <w:noProof/>
          <w:szCs w:val="24"/>
        </w:rPr>
        <w:t>Indian Journal of Surgery</w:t>
      </w:r>
      <w:r w:rsidRPr="002A34FD">
        <w:rPr>
          <w:rFonts w:ascii="Calibri" w:hAnsi="Calibri" w:cs="Calibri"/>
          <w:noProof/>
          <w:szCs w:val="24"/>
        </w:rPr>
        <w:t>. Springer India, pp. 131–136. doi: 10.1007/s12262-012-0787-y.</w:t>
      </w:r>
    </w:p>
    <w:p w14:paraId="6B4F5884"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The Association of Obstetricians &amp; Gynaecologists of Malawi (2014) ‘Obstetrics &amp; Gynaecology Protocols and Guidelines’, (September), pp. 1–105.</w:t>
      </w:r>
    </w:p>
    <w:p w14:paraId="5E03AA20"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lastRenderedPageBreak/>
        <w:t>The Government of the Republic of Malawi (2014) ‘Malawi National Reproductive Health Service Delivery Guidelines’.</w:t>
      </w:r>
    </w:p>
    <w:p w14:paraId="4DA2764D"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Tunçalp, Ö. </w:t>
      </w:r>
      <w:r w:rsidRPr="002A34FD">
        <w:rPr>
          <w:rFonts w:ascii="Calibri" w:hAnsi="Calibri" w:cs="Calibri"/>
          <w:i/>
          <w:iCs/>
          <w:noProof/>
          <w:szCs w:val="24"/>
        </w:rPr>
        <w:t>et al.</w:t>
      </w:r>
      <w:r w:rsidRPr="002A34FD">
        <w:rPr>
          <w:rFonts w:ascii="Calibri" w:hAnsi="Calibri" w:cs="Calibri"/>
          <w:noProof/>
          <w:szCs w:val="24"/>
        </w:rPr>
        <w:t xml:space="preserve"> (2015) ‘Measuring the incidence and prevalence of obstetric fistula: approaches, needs and recommendations’, </w:t>
      </w:r>
      <w:r w:rsidRPr="002A34FD">
        <w:rPr>
          <w:rFonts w:ascii="Calibri" w:hAnsi="Calibri" w:cs="Calibri"/>
          <w:i/>
          <w:iCs/>
          <w:noProof/>
          <w:szCs w:val="24"/>
        </w:rPr>
        <w:t>Bull World Health Organ</w:t>
      </w:r>
      <w:r w:rsidRPr="002A34FD">
        <w:rPr>
          <w:rFonts w:ascii="Calibri" w:hAnsi="Calibri" w:cs="Calibri"/>
          <w:noProof/>
          <w:szCs w:val="24"/>
        </w:rPr>
        <w:t>. doi: 10.2471/BLT.14.141473.</w:t>
      </w:r>
    </w:p>
    <w:p w14:paraId="6CA1384B" w14:textId="77777777" w:rsidR="002A34FD" w:rsidRPr="002A34FD" w:rsidRDefault="002A34FD" w:rsidP="002A34FD">
      <w:pPr>
        <w:widowControl w:val="0"/>
        <w:autoSpaceDE w:val="0"/>
        <w:autoSpaceDN w:val="0"/>
        <w:adjustRightInd w:val="0"/>
        <w:spacing w:line="240" w:lineRule="auto"/>
        <w:rPr>
          <w:rFonts w:ascii="Calibri" w:hAnsi="Calibri" w:cs="Calibri"/>
          <w:noProof/>
          <w:szCs w:val="24"/>
        </w:rPr>
      </w:pPr>
      <w:r w:rsidRPr="002A34FD">
        <w:rPr>
          <w:rFonts w:ascii="Calibri" w:hAnsi="Calibri" w:cs="Calibri"/>
          <w:noProof/>
          <w:szCs w:val="24"/>
        </w:rPr>
        <w:t xml:space="preserve">Yeakey, M. P. </w:t>
      </w:r>
      <w:r w:rsidRPr="002A34FD">
        <w:rPr>
          <w:rFonts w:ascii="Calibri" w:hAnsi="Calibri" w:cs="Calibri"/>
          <w:i/>
          <w:iCs/>
          <w:noProof/>
          <w:szCs w:val="24"/>
        </w:rPr>
        <w:t>et al.</w:t>
      </w:r>
      <w:r w:rsidRPr="002A34FD">
        <w:rPr>
          <w:rFonts w:ascii="Calibri" w:hAnsi="Calibri" w:cs="Calibri"/>
          <w:noProof/>
          <w:szCs w:val="24"/>
        </w:rPr>
        <w:t xml:space="preserve"> (2009) ‘The lived experience of Malawian women with obstetric fistula’, </w:t>
      </w:r>
      <w:r w:rsidRPr="002A34FD">
        <w:rPr>
          <w:rFonts w:ascii="Calibri" w:hAnsi="Calibri" w:cs="Calibri"/>
          <w:i/>
          <w:iCs/>
          <w:noProof/>
          <w:szCs w:val="24"/>
        </w:rPr>
        <w:t>Culture, Health and Sexuality</w:t>
      </w:r>
      <w:r w:rsidRPr="002A34FD">
        <w:rPr>
          <w:rFonts w:ascii="Calibri" w:hAnsi="Calibri" w:cs="Calibri"/>
          <w:noProof/>
          <w:szCs w:val="24"/>
        </w:rPr>
        <w:t>.  Taylor &amp; Francis Group , 11(5), pp. 499–513. doi: 10.1080/13691050902874777.</w:t>
      </w:r>
    </w:p>
    <w:p w14:paraId="7FF98AA8" w14:textId="77777777" w:rsidR="002A34FD" w:rsidRPr="002A34FD" w:rsidRDefault="002A34FD" w:rsidP="002A34FD">
      <w:pPr>
        <w:widowControl w:val="0"/>
        <w:autoSpaceDE w:val="0"/>
        <w:autoSpaceDN w:val="0"/>
        <w:adjustRightInd w:val="0"/>
        <w:spacing w:line="240" w:lineRule="auto"/>
        <w:rPr>
          <w:rFonts w:ascii="Calibri" w:hAnsi="Calibri" w:cs="Calibri"/>
          <w:noProof/>
        </w:rPr>
      </w:pPr>
      <w:r w:rsidRPr="002A34FD">
        <w:rPr>
          <w:rFonts w:ascii="Calibri" w:hAnsi="Calibri" w:cs="Calibri"/>
          <w:noProof/>
          <w:szCs w:val="24"/>
        </w:rPr>
        <w:t xml:space="preserve">Zaidi, A. K. M. </w:t>
      </w:r>
      <w:r w:rsidRPr="002A34FD">
        <w:rPr>
          <w:rFonts w:ascii="Calibri" w:hAnsi="Calibri" w:cs="Calibri"/>
          <w:i/>
          <w:iCs/>
          <w:noProof/>
          <w:szCs w:val="24"/>
        </w:rPr>
        <w:t>et al.</w:t>
      </w:r>
      <w:r w:rsidRPr="002A34FD">
        <w:rPr>
          <w:rFonts w:ascii="Calibri" w:hAnsi="Calibri" w:cs="Calibri"/>
          <w:noProof/>
          <w:szCs w:val="24"/>
        </w:rPr>
        <w:t xml:space="preserve"> (2011) ‘Effect of case management on neonatal mortality due to sepsis and pneumonia’, </w:t>
      </w:r>
      <w:r w:rsidRPr="002A34FD">
        <w:rPr>
          <w:rFonts w:ascii="Calibri" w:hAnsi="Calibri" w:cs="Calibri"/>
          <w:i/>
          <w:iCs/>
          <w:noProof/>
          <w:szCs w:val="24"/>
        </w:rPr>
        <w:t>BMC Public Health</w:t>
      </w:r>
      <w:r w:rsidRPr="002A34FD">
        <w:rPr>
          <w:rFonts w:ascii="Calibri" w:hAnsi="Calibri" w:cs="Calibri"/>
          <w:noProof/>
          <w:szCs w:val="24"/>
        </w:rPr>
        <w:t>. BioMed Central, p. S13. doi: 10.1186/1471-2458-11-S3-S13.</w:t>
      </w:r>
    </w:p>
    <w:p w14:paraId="4E5665E6" w14:textId="4C551ADB" w:rsidR="002A34FD" w:rsidRPr="00DC58BA" w:rsidRDefault="002A34FD" w:rsidP="00256D4D">
      <w:pPr>
        <w:rPr>
          <w:b/>
        </w:rPr>
      </w:pPr>
      <w:r>
        <w:rPr>
          <w:b/>
        </w:rPr>
        <w:fldChar w:fldCharType="end"/>
      </w:r>
    </w:p>
    <w:sectPr w:rsidR="002A34FD" w:rsidRPr="00DC58B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85DC" w16cex:dateUtc="2021-02-11T10:30:00Z"/>
  <w16cex:commentExtensible w16cex:durableId="23CF8970" w16cex:dateUtc="2021-02-11T10:46:00Z"/>
  <w16cex:commentExtensible w16cex:durableId="23CF89A6" w16cex:dateUtc="2021-02-11T10:47:00Z"/>
  <w16cex:commentExtensible w16cex:durableId="23CF8A5B" w16cex:dateUtc="2021-02-11T10:50:00Z"/>
  <w16cex:commentExtensible w16cex:durableId="23CF8ACB" w16cex:dateUtc="2021-02-11T10:51:00Z"/>
  <w16cex:commentExtensible w16cex:durableId="23CF8B0B" w16cex:dateUtc="2021-02-11T10:52:00Z"/>
  <w16cex:commentExtensible w16cex:durableId="23CF8B2C" w16cex:dateUtc="2021-02-11T10:53:00Z"/>
  <w16cex:commentExtensible w16cex:durableId="23CFBC51" w16cex:dateUtc="2021-02-11T14:23:00Z"/>
  <w16cex:commentExtensible w16cex:durableId="23CFBCAF" w16cex:dateUtc="2021-02-11T14:24:00Z"/>
  <w16cex:commentExtensible w16cex:durableId="23CFBCC7" w16cex:dateUtc="2021-02-11T14:25:00Z"/>
  <w16cex:commentExtensible w16cex:durableId="23CFBCD7" w16cex:dateUtc="2021-02-11T14:25:00Z"/>
  <w16cex:commentExtensible w16cex:durableId="23CFBF6A" w16cex:dateUtc="2021-02-11T14:36:00Z"/>
  <w16cex:commentExtensible w16cex:durableId="23CFCB89" w16cex:dateUtc="2021-02-11T15:28:00Z"/>
  <w16cex:commentExtensible w16cex:durableId="23CFCBCF" w16cex:dateUtc="2021-02-11T15:29:00Z"/>
  <w16cex:commentExtensible w16cex:durableId="23CFCC33" w16cex:dateUtc="2021-02-11T15:30:00Z"/>
  <w16cex:commentExtensible w16cex:durableId="23CFCCCB" w16cex:dateUtc="2021-02-11T15:33:00Z"/>
  <w16cex:commentExtensible w16cex:durableId="23CFCD17" w16cex:dateUtc="2021-02-11T15:34:00Z"/>
  <w16cex:commentExtensible w16cex:durableId="23CFCE38" w16cex:dateUtc="2021-02-11T15:39:00Z"/>
  <w16cex:commentExtensible w16cex:durableId="23CFCE64" w16cex:dateUtc="2021-02-11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5E0945" w16cid:durableId="23CED407"/>
  <w16cid:commentId w16cid:paraId="48939C53" w16cid:durableId="23CF85DC"/>
  <w16cid:commentId w16cid:paraId="096C2353" w16cid:durableId="23CED408"/>
  <w16cid:commentId w16cid:paraId="0E69E8A2" w16cid:durableId="23CF8970"/>
  <w16cid:commentId w16cid:paraId="61A4907E" w16cid:durableId="23CED409"/>
  <w16cid:commentId w16cid:paraId="74318745" w16cid:durableId="23CF89A6"/>
  <w16cid:commentId w16cid:paraId="3AD35E33" w16cid:durableId="23CED40A"/>
  <w16cid:commentId w16cid:paraId="64D01650" w16cid:durableId="23CED40B"/>
  <w16cid:commentId w16cid:paraId="557E2BB9" w16cid:durableId="23CF8A5B"/>
  <w16cid:commentId w16cid:paraId="158FAC2A" w16cid:durableId="23CED40C"/>
  <w16cid:commentId w16cid:paraId="274C0F33" w16cid:durableId="23CED40D"/>
  <w16cid:commentId w16cid:paraId="593906FD" w16cid:durableId="23CF8ACB"/>
  <w16cid:commentId w16cid:paraId="49AA2B36" w16cid:durableId="23CED40E"/>
  <w16cid:commentId w16cid:paraId="2EC9B963" w16cid:durableId="23CF8B0B"/>
  <w16cid:commentId w16cid:paraId="41127005" w16cid:durableId="23CED40F"/>
  <w16cid:commentId w16cid:paraId="2EBA2F72" w16cid:durableId="23CF8B2C"/>
  <w16cid:commentId w16cid:paraId="29EF6261" w16cid:durableId="23CED410"/>
  <w16cid:commentId w16cid:paraId="4F3A20A6" w16cid:durableId="23CFBC51"/>
  <w16cid:commentId w16cid:paraId="2A312EF3" w16cid:durableId="23CED411"/>
  <w16cid:commentId w16cid:paraId="6A5C8383" w16cid:durableId="23CED412"/>
  <w16cid:commentId w16cid:paraId="798EA501" w16cid:durableId="23CFBCAF"/>
  <w16cid:commentId w16cid:paraId="396BC83F" w16cid:durableId="23CED413"/>
  <w16cid:commentId w16cid:paraId="0DEA20E9" w16cid:durableId="23CFBCC7"/>
  <w16cid:commentId w16cid:paraId="77E798D4" w16cid:durableId="23CFBCD7"/>
  <w16cid:commentId w16cid:paraId="7C8F5E2D" w16cid:durableId="23CED414"/>
  <w16cid:commentId w16cid:paraId="5BB30866" w16cid:durableId="23CFBF6A"/>
  <w16cid:commentId w16cid:paraId="063AB584" w16cid:durableId="23CED415"/>
  <w16cid:commentId w16cid:paraId="11F67FEC" w16cid:durableId="23CED416"/>
  <w16cid:commentId w16cid:paraId="42BD6221" w16cid:durableId="23CFCB89"/>
  <w16cid:commentId w16cid:paraId="7A7141B1" w16cid:durableId="23CED417"/>
  <w16cid:commentId w16cid:paraId="1E8C206B" w16cid:durableId="23CFCBCF"/>
  <w16cid:commentId w16cid:paraId="5EF3C101" w16cid:durableId="23CED418"/>
  <w16cid:commentId w16cid:paraId="09FC6CB3" w16cid:durableId="23CFCC33"/>
  <w16cid:commentId w16cid:paraId="264B8955" w16cid:durableId="23CED419"/>
  <w16cid:commentId w16cid:paraId="694DBD09" w16cid:durableId="23CED41A"/>
  <w16cid:commentId w16cid:paraId="7E02A9C4" w16cid:durableId="23CFCCCB"/>
  <w16cid:commentId w16cid:paraId="298C3B04" w16cid:durableId="23CED41B"/>
  <w16cid:commentId w16cid:paraId="43C877A8" w16cid:durableId="23CED41C"/>
  <w16cid:commentId w16cid:paraId="172529BE" w16cid:durableId="23CFCD17"/>
  <w16cid:commentId w16cid:paraId="629D27DB" w16cid:durableId="23CED41D"/>
  <w16cid:commentId w16cid:paraId="6D4C727E" w16cid:durableId="23CFCE38"/>
  <w16cid:commentId w16cid:paraId="602E7732" w16cid:durableId="23CED41E"/>
  <w16cid:commentId w16cid:paraId="470C8043" w16cid:durableId="23CFCE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67A2A" w14:textId="77777777" w:rsidR="00B40120" w:rsidRDefault="00B40120" w:rsidP="00F13DCB">
      <w:pPr>
        <w:spacing w:after="0" w:line="240" w:lineRule="auto"/>
      </w:pPr>
      <w:r>
        <w:separator/>
      </w:r>
    </w:p>
  </w:endnote>
  <w:endnote w:type="continuationSeparator" w:id="0">
    <w:p w14:paraId="1F5303CB" w14:textId="77777777" w:rsidR="00B40120" w:rsidRDefault="00B40120" w:rsidP="00F1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92D49" w14:textId="77777777" w:rsidR="00B40120" w:rsidRDefault="00B40120" w:rsidP="00F13DCB">
      <w:pPr>
        <w:spacing w:after="0" w:line="240" w:lineRule="auto"/>
      </w:pPr>
      <w:r>
        <w:separator/>
      </w:r>
    </w:p>
  </w:footnote>
  <w:footnote w:type="continuationSeparator" w:id="0">
    <w:p w14:paraId="057DC648" w14:textId="77777777" w:rsidR="00B40120" w:rsidRDefault="00B40120" w:rsidP="00F13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FFE"/>
    <w:multiLevelType w:val="hybridMultilevel"/>
    <w:tmpl w:val="7948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A6CF2"/>
    <w:multiLevelType w:val="hybridMultilevel"/>
    <w:tmpl w:val="94D2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43561"/>
    <w:multiLevelType w:val="hybridMultilevel"/>
    <w:tmpl w:val="037C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A1D2A"/>
    <w:multiLevelType w:val="hybridMultilevel"/>
    <w:tmpl w:val="7A800494"/>
    <w:lvl w:ilvl="0" w:tplc="AC561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72B4A"/>
    <w:multiLevelType w:val="hybridMultilevel"/>
    <w:tmpl w:val="0572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333D3"/>
    <w:multiLevelType w:val="hybridMultilevel"/>
    <w:tmpl w:val="8AA09AD2"/>
    <w:lvl w:ilvl="0" w:tplc="0E12341E">
      <w:start w:val="1"/>
      <w:numFmt w:val="bullet"/>
      <w:pStyle w:val="JHPtablebullet2"/>
      <w:lvlText w:val=""/>
      <w:lvlJc w:val="left"/>
      <w:pPr>
        <w:ind w:left="786"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D481D"/>
    <w:multiLevelType w:val="hybridMultilevel"/>
    <w:tmpl w:val="8152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06765"/>
    <w:multiLevelType w:val="hybridMultilevel"/>
    <w:tmpl w:val="AE548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E03D9"/>
    <w:multiLevelType w:val="hybridMultilevel"/>
    <w:tmpl w:val="31A029CC"/>
    <w:lvl w:ilvl="0" w:tplc="B792C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AF9"/>
    <w:multiLevelType w:val="hybridMultilevel"/>
    <w:tmpl w:val="E804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F7C31"/>
    <w:multiLevelType w:val="hybridMultilevel"/>
    <w:tmpl w:val="658A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6418F"/>
    <w:multiLevelType w:val="hybridMultilevel"/>
    <w:tmpl w:val="9836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61AE9"/>
    <w:multiLevelType w:val="hybridMultilevel"/>
    <w:tmpl w:val="6FC43E06"/>
    <w:lvl w:ilvl="0" w:tplc="795413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7D2884"/>
    <w:multiLevelType w:val="hybridMultilevel"/>
    <w:tmpl w:val="BCBC199C"/>
    <w:lvl w:ilvl="0" w:tplc="DD943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ED69AA"/>
    <w:multiLevelType w:val="hybridMultilevel"/>
    <w:tmpl w:val="56DE0510"/>
    <w:lvl w:ilvl="0" w:tplc="646AB56A">
      <w:start w:val="1"/>
      <w:numFmt w:val="bullet"/>
      <w:pStyle w:val="JHPbullet1"/>
      <w:lvlText w:val=""/>
      <w:lvlJc w:val="left"/>
      <w:pPr>
        <w:ind w:left="720" w:hanging="360"/>
      </w:pPr>
      <w:rPr>
        <w:rFonts w:ascii="Wingdings" w:hAnsi="Wingdings" w:hint="default"/>
        <w:b w:val="0"/>
        <w:i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76EFD"/>
    <w:multiLevelType w:val="hybridMultilevel"/>
    <w:tmpl w:val="74CC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07731"/>
    <w:multiLevelType w:val="hybridMultilevel"/>
    <w:tmpl w:val="E4926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904FB"/>
    <w:multiLevelType w:val="hybridMultilevel"/>
    <w:tmpl w:val="5CF4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A2FD3"/>
    <w:multiLevelType w:val="hybridMultilevel"/>
    <w:tmpl w:val="D3C2769E"/>
    <w:lvl w:ilvl="0" w:tplc="566A8C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4B03ED"/>
    <w:multiLevelType w:val="hybridMultilevel"/>
    <w:tmpl w:val="87AE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566FA"/>
    <w:multiLevelType w:val="hybridMultilevel"/>
    <w:tmpl w:val="F32EAE56"/>
    <w:lvl w:ilvl="0" w:tplc="FF7825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E0D54"/>
    <w:multiLevelType w:val="hybridMultilevel"/>
    <w:tmpl w:val="1A38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7548B"/>
    <w:multiLevelType w:val="hybridMultilevel"/>
    <w:tmpl w:val="15A8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0105F"/>
    <w:multiLevelType w:val="hybridMultilevel"/>
    <w:tmpl w:val="B91C15A8"/>
    <w:lvl w:ilvl="0" w:tplc="D922A0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640591"/>
    <w:multiLevelType w:val="hybridMultilevel"/>
    <w:tmpl w:val="86B091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59124A"/>
    <w:multiLevelType w:val="hybridMultilevel"/>
    <w:tmpl w:val="A828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56FFC"/>
    <w:multiLevelType w:val="hybridMultilevel"/>
    <w:tmpl w:val="7F4264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AB674A"/>
    <w:multiLevelType w:val="hybridMultilevel"/>
    <w:tmpl w:val="BAB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9540F"/>
    <w:multiLevelType w:val="hybridMultilevel"/>
    <w:tmpl w:val="74FA1A08"/>
    <w:lvl w:ilvl="0" w:tplc="CA40854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E79B2"/>
    <w:multiLevelType w:val="hybridMultilevel"/>
    <w:tmpl w:val="E490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16"/>
  </w:num>
  <w:num w:numId="5">
    <w:abstractNumId w:val="18"/>
  </w:num>
  <w:num w:numId="6">
    <w:abstractNumId w:val="3"/>
  </w:num>
  <w:num w:numId="7">
    <w:abstractNumId w:val="7"/>
  </w:num>
  <w:num w:numId="8">
    <w:abstractNumId w:val="15"/>
  </w:num>
  <w:num w:numId="9">
    <w:abstractNumId w:val="5"/>
  </w:num>
  <w:num w:numId="10">
    <w:abstractNumId w:val="2"/>
  </w:num>
  <w:num w:numId="11">
    <w:abstractNumId w:val="19"/>
  </w:num>
  <w:num w:numId="12">
    <w:abstractNumId w:val="0"/>
  </w:num>
  <w:num w:numId="13">
    <w:abstractNumId w:val="29"/>
  </w:num>
  <w:num w:numId="14">
    <w:abstractNumId w:val="10"/>
  </w:num>
  <w:num w:numId="15">
    <w:abstractNumId w:val="27"/>
  </w:num>
  <w:num w:numId="16">
    <w:abstractNumId w:val="1"/>
  </w:num>
  <w:num w:numId="17">
    <w:abstractNumId w:val="17"/>
  </w:num>
  <w:num w:numId="18">
    <w:abstractNumId w:val="12"/>
  </w:num>
  <w:num w:numId="19">
    <w:abstractNumId w:val="28"/>
  </w:num>
  <w:num w:numId="20">
    <w:abstractNumId w:val="26"/>
  </w:num>
  <w:num w:numId="21">
    <w:abstractNumId w:val="24"/>
  </w:num>
  <w:num w:numId="22">
    <w:abstractNumId w:val="20"/>
  </w:num>
  <w:num w:numId="23">
    <w:abstractNumId w:val="11"/>
  </w:num>
  <w:num w:numId="24">
    <w:abstractNumId w:val="21"/>
  </w:num>
  <w:num w:numId="25">
    <w:abstractNumId w:val="14"/>
  </w:num>
  <w:num w:numId="26">
    <w:abstractNumId w:val="25"/>
  </w:num>
  <w:num w:numId="27">
    <w:abstractNumId w:val="22"/>
  </w:num>
  <w:num w:numId="28">
    <w:abstractNumId w:val="6"/>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A2"/>
    <w:rsid w:val="000000DB"/>
    <w:rsid w:val="0000262C"/>
    <w:rsid w:val="00002D34"/>
    <w:rsid w:val="00022B4D"/>
    <w:rsid w:val="0002434F"/>
    <w:rsid w:val="00026D82"/>
    <w:rsid w:val="00035E3F"/>
    <w:rsid w:val="00040EC5"/>
    <w:rsid w:val="00047EDF"/>
    <w:rsid w:val="00055AFD"/>
    <w:rsid w:val="0005727D"/>
    <w:rsid w:val="000801DE"/>
    <w:rsid w:val="0008498A"/>
    <w:rsid w:val="00084FD9"/>
    <w:rsid w:val="00086EE7"/>
    <w:rsid w:val="000A1504"/>
    <w:rsid w:val="000A2A08"/>
    <w:rsid w:val="000B1E5B"/>
    <w:rsid w:val="000C0384"/>
    <w:rsid w:val="000C5544"/>
    <w:rsid w:val="000C6121"/>
    <w:rsid w:val="000D1525"/>
    <w:rsid w:val="000E0810"/>
    <w:rsid w:val="000E0DA7"/>
    <w:rsid w:val="000E3033"/>
    <w:rsid w:val="000E3F0C"/>
    <w:rsid w:val="0010616E"/>
    <w:rsid w:val="0010628D"/>
    <w:rsid w:val="00113C2B"/>
    <w:rsid w:val="001334E9"/>
    <w:rsid w:val="00142E96"/>
    <w:rsid w:val="00143ECC"/>
    <w:rsid w:val="001500DF"/>
    <w:rsid w:val="001550DF"/>
    <w:rsid w:val="00161803"/>
    <w:rsid w:val="00163A0F"/>
    <w:rsid w:val="00164A9C"/>
    <w:rsid w:val="001754A9"/>
    <w:rsid w:val="00177B41"/>
    <w:rsid w:val="00190B3C"/>
    <w:rsid w:val="001A3E92"/>
    <w:rsid w:val="001B0001"/>
    <w:rsid w:val="001B66F4"/>
    <w:rsid w:val="001C642C"/>
    <w:rsid w:val="001D5281"/>
    <w:rsid w:val="001D7904"/>
    <w:rsid w:val="002002CD"/>
    <w:rsid w:val="002049C1"/>
    <w:rsid w:val="00207FC8"/>
    <w:rsid w:val="00223B76"/>
    <w:rsid w:val="002335FA"/>
    <w:rsid w:val="00233861"/>
    <w:rsid w:val="00234B69"/>
    <w:rsid w:val="00252586"/>
    <w:rsid w:val="00256D4D"/>
    <w:rsid w:val="00262338"/>
    <w:rsid w:val="00264D40"/>
    <w:rsid w:val="00270108"/>
    <w:rsid w:val="00270807"/>
    <w:rsid w:val="00284995"/>
    <w:rsid w:val="00294EB6"/>
    <w:rsid w:val="002975BD"/>
    <w:rsid w:val="002A34FD"/>
    <w:rsid w:val="002A4C40"/>
    <w:rsid w:val="002A7BD7"/>
    <w:rsid w:val="002B0814"/>
    <w:rsid w:val="002B49D7"/>
    <w:rsid w:val="002D6973"/>
    <w:rsid w:val="002E7323"/>
    <w:rsid w:val="002E794D"/>
    <w:rsid w:val="002F1D28"/>
    <w:rsid w:val="002F255F"/>
    <w:rsid w:val="002F5B63"/>
    <w:rsid w:val="003135A4"/>
    <w:rsid w:val="00331DA3"/>
    <w:rsid w:val="00336DE2"/>
    <w:rsid w:val="003645D1"/>
    <w:rsid w:val="003652B1"/>
    <w:rsid w:val="00366246"/>
    <w:rsid w:val="00371704"/>
    <w:rsid w:val="00393FBD"/>
    <w:rsid w:val="003A338E"/>
    <w:rsid w:val="003B291B"/>
    <w:rsid w:val="003C1A90"/>
    <w:rsid w:val="003C35E6"/>
    <w:rsid w:val="003D67A7"/>
    <w:rsid w:val="003E1344"/>
    <w:rsid w:val="00423A46"/>
    <w:rsid w:val="00425743"/>
    <w:rsid w:val="0044187D"/>
    <w:rsid w:val="0045336E"/>
    <w:rsid w:val="00472BC7"/>
    <w:rsid w:val="00484106"/>
    <w:rsid w:val="0048492F"/>
    <w:rsid w:val="004863B3"/>
    <w:rsid w:val="004B2FF1"/>
    <w:rsid w:val="004B7CC7"/>
    <w:rsid w:val="004C2BF3"/>
    <w:rsid w:val="004C3088"/>
    <w:rsid w:val="004C7D47"/>
    <w:rsid w:val="004D2137"/>
    <w:rsid w:val="004D2AB7"/>
    <w:rsid w:val="004D6B9F"/>
    <w:rsid w:val="004D79B4"/>
    <w:rsid w:val="004E2E2E"/>
    <w:rsid w:val="004E55DC"/>
    <w:rsid w:val="004E5E51"/>
    <w:rsid w:val="004E7273"/>
    <w:rsid w:val="004F06D5"/>
    <w:rsid w:val="004F3D30"/>
    <w:rsid w:val="005062FF"/>
    <w:rsid w:val="00520E35"/>
    <w:rsid w:val="00533846"/>
    <w:rsid w:val="00535954"/>
    <w:rsid w:val="00535D85"/>
    <w:rsid w:val="00543F5A"/>
    <w:rsid w:val="00547F80"/>
    <w:rsid w:val="00556801"/>
    <w:rsid w:val="005632C5"/>
    <w:rsid w:val="00573800"/>
    <w:rsid w:val="00584203"/>
    <w:rsid w:val="0058651E"/>
    <w:rsid w:val="00586F6E"/>
    <w:rsid w:val="005B7E3E"/>
    <w:rsid w:val="005D30A2"/>
    <w:rsid w:val="005D35A4"/>
    <w:rsid w:val="005E31CD"/>
    <w:rsid w:val="005E7A3B"/>
    <w:rsid w:val="00617945"/>
    <w:rsid w:val="00620F2D"/>
    <w:rsid w:val="00631CD8"/>
    <w:rsid w:val="0065077D"/>
    <w:rsid w:val="00694874"/>
    <w:rsid w:val="006C0C79"/>
    <w:rsid w:val="006C0F1C"/>
    <w:rsid w:val="006C697F"/>
    <w:rsid w:val="006D7451"/>
    <w:rsid w:val="006F75A4"/>
    <w:rsid w:val="00701249"/>
    <w:rsid w:val="00701C17"/>
    <w:rsid w:val="00703202"/>
    <w:rsid w:val="0071458C"/>
    <w:rsid w:val="007169E2"/>
    <w:rsid w:val="00725C25"/>
    <w:rsid w:val="007265F1"/>
    <w:rsid w:val="00727D8E"/>
    <w:rsid w:val="007357A3"/>
    <w:rsid w:val="00735DD1"/>
    <w:rsid w:val="00741FB3"/>
    <w:rsid w:val="00742451"/>
    <w:rsid w:val="00752428"/>
    <w:rsid w:val="0075389C"/>
    <w:rsid w:val="00761DD3"/>
    <w:rsid w:val="00770121"/>
    <w:rsid w:val="00775150"/>
    <w:rsid w:val="00793570"/>
    <w:rsid w:val="007A18B4"/>
    <w:rsid w:val="007A1EEA"/>
    <w:rsid w:val="007B5687"/>
    <w:rsid w:val="007C3839"/>
    <w:rsid w:val="007D395B"/>
    <w:rsid w:val="008037F2"/>
    <w:rsid w:val="00804928"/>
    <w:rsid w:val="00810CD5"/>
    <w:rsid w:val="00812C83"/>
    <w:rsid w:val="00836E38"/>
    <w:rsid w:val="00840BFC"/>
    <w:rsid w:val="008411A2"/>
    <w:rsid w:val="00843AD3"/>
    <w:rsid w:val="00844FA4"/>
    <w:rsid w:val="00847E12"/>
    <w:rsid w:val="008509ED"/>
    <w:rsid w:val="00850A4B"/>
    <w:rsid w:val="008643F4"/>
    <w:rsid w:val="008764DF"/>
    <w:rsid w:val="0088181F"/>
    <w:rsid w:val="00883B1A"/>
    <w:rsid w:val="00887441"/>
    <w:rsid w:val="0089492A"/>
    <w:rsid w:val="008976D3"/>
    <w:rsid w:val="008A3B73"/>
    <w:rsid w:val="008A4159"/>
    <w:rsid w:val="008A7317"/>
    <w:rsid w:val="008C4244"/>
    <w:rsid w:val="008E0616"/>
    <w:rsid w:val="008F36EE"/>
    <w:rsid w:val="008F741A"/>
    <w:rsid w:val="00910927"/>
    <w:rsid w:val="00916996"/>
    <w:rsid w:val="009429EE"/>
    <w:rsid w:val="00944B0A"/>
    <w:rsid w:val="00960A49"/>
    <w:rsid w:val="00960E85"/>
    <w:rsid w:val="0096785E"/>
    <w:rsid w:val="009710B7"/>
    <w:rsid w:val="00972CB2"/>
    <w:rsid w:val="0098207A"/>
    <w:rsid w:val="009860A1"/>
    <w:rsid w:val="00995633"/>
    <w:rsid w:val="009B2AC4"/>
    <w:rsid w:val="009C143E"/>
    <w:rsid w:val="009C72E7"/>
    <w:rsid w:val="009C7899"/>
    <w:rsid w:val="009D3D6D"/>
    <w:rsid w:val="009D7608"/>
    <w:rsid w:val="009F0D80"/>
    <w:rsid w:val="009F70BE"/>
    <w:rsid w:val="00A03373"/>
    <w:rsid w:val="00A067A7"/>
    <w:rsid w:val="00A1018C"/>
    <w:rsid w:val="00A3154A"/>
    <w:rsid w:val="00A3179B"/>
    <w:rsid w:val="00A3416A"/>
    <w:rsid w:val="00A34653"/>
    <w:rsid w:val="00A400EC"/>
    <w:rsid w:val="00A47DF6"/>
    <w:rsid w:val="00A55394"/>
    <w:rsid w:val="00A578C6"/>
    <w:rsid w:val="00A60BEA"/>
    <w:rsid w:val="00A6525F"/>
    <w:rsid w:val="00A71C44"/>
    <w:rsid w:val="00A90AA2"/>
    <w:rsid w:val="00A925E8"/>
    <w:rsid w:val="00AB4714"/>
    <w:rsid w:val="00AB5138"/>
    <w:rsid w:val="00AB5901"/>
    <w:rsid w:val="00AC76C0"/>
    <w:rsid w:val="00AD087D"/>
    <w:rsid w:val="00AE1B7A"/>
    <w:rsid w:val="00AE69C4"/>
    <w:rsid w:val="00AF4877"/>
    <w:rsid w:val="00AF72BD"/>
    <w:rsid w:val="00B07178"/>
    <w:rsid w:val="00B12A73"/>
    <w:rsid w:val="00B17653"/>
    <w:rsid w:val="00B40120"/>
    <w:rsid w:val="00B40373"/>
    <w:rsid w:val="00B41E30"/>
    <w:rsid w:val="00B45F0E"/>
    <w:rsid w:val="00B51FDC"/>
    <w:rsid w:val="00B67638"/>
    <w:rsid w:val="00B93050"/>
    <w:rsid w:val="00B96392"/>
    <w:rsid w:val="00B96916"/>
    <w:rsid w:val="00B969F1"/>
    <w:rsid w:val="00BC0C36"/>
    <w:rsid w:val="00BC1DFD"/>
    <w:rsid w:val="00BC5BD3"/>
    <w:rsid w:val="00BD361A"/>
    <w:rsid w:val="00BD7F21"/>
    <w:rsid w:val="00BE0CCD"/>
    <w:rsid w:val="00BF2044"/>
    <w:rsid w:val="00BF43AF"/>
    <w:rsid w:val="00C0652E"/>
    <w:rsid w:val="00C20412"/>
    <w:rsid w:val="00C416EA"/>
    <w:rsid w:val="00C44F39"/>
    <w:rsid w:val="00C63ADA"/>
    <w:rsid w:val="00C64D50"/>
    <w:rsid w:val="00C652F1"/>
    <w:rsid w:val="00C65A24"/>
    <w:rsid w:val="00C801A7"/>
    <w:rsid w:val="00C94E83"/>
    <w:rsid w:val="00C94F4C"/>
    <w:rsid w:val="00CB0321"/>
    <w:rsid w:val="00CB2C37"/>
    <w:rsid w:val="00CC4D92"/>
    <w:rsid w:val="00CD26EB"/>
    <w:rsid w:val="00CD32E5"/>
    <w:rsid w:val="00CD7117"/>
    <w:rsid w:val="00CE096B"/>
    <w:rsid w:val="00CF2FA0"/>
    <w:rsid w:val="00D14CDD"/>
    <w:rsid w:val="00D2560F"/>
    <w:rsid w:val="00D4165E"/>
    <w:rsid w:val="00D417C9"/>
    <w:rsid w:val="00D41C9C"/>
    <w:rsid w:val="00D450B0"/>
    <w:rsid w:val="00D7383B"/>
    <w:rsid w:val="00D7502B"/>
    <w:rsid w:val="00D77F20"/>
    <w:rsid w:val="00D810E2"/>
    <w:rsid w:val="00D84E31"/>
    <w:rsid w:val="00D9122D"/>
    <w:rsid w:val="00D922B2"/>
    <w:rsid w:val="00D95DCF"/>
    <w:rsid w:val="00DA3D1F"/>
    <w:rsid w:val="00DA3FE4"/>
    <w:rsid w:val="00DA79AA"/>
    <w:rsid w:val="00DB4EB1"/>
    <w:rsid w:val="00DC58BA"/>
    <w:rsid w:val="00DD16CB"/>
    <w:rsid w:val="00DD39DC"/>
    <w:rsid w:val="00DE4CBD"/>
    <w:rsid w:val="00DE687A"/>
    <w:rsid w:val="00DE697E"/>
    <w:rsid w:val="00E10EAB"/>
    <w:rsid w:val="00E2245B"/>
    <w:rsid w:val="00E33151"/>
    <w:rsid w:val="00E37F29"/>
    <w:rsid w:val="00E43237"/>
    <w:rsid w:val="00E43DE7"/>
    <w:rsid w:val="00E4642E"/>
    <w:rsid w:val="00E5097C"/>
    <w:rsid w:val="00E563EA"/>
    <w:rsid w:val="00E601E9"/>
    <w:rsid w:val="00E60F0C"/>
    <w:rsid w:val="00E61E61"/>
    <w:rsid w:val="00E67031"/>
    <w:rsid w:val="00E70935"/>
    <w:rsid w:val="00E84F79"/>
    <w:rsid w:val="00E91B97"/>
    <w:rsid w:val="00EA3435"/>
    <w:rsid w:val="00EC09BC"/>
    <w:rsid w:val="00EC4BBF"/>
    <w:rsid w:val="00EC76CE"/>
    <w:rsid w:val="00ED1CB3"/>
    <w:rsid w:val="00EE4A6D"/>
    <w:rsid w:val="00F12A6B"/>
    <w:rsid w:val="00F13DCB"/>
    <w:rsid w:val="00F16EA5"/>
    <w:rsid w:val="00F253FD"/>
    <w:rsid w:val="00F267C2"/>
    <w:rsid w:val="00F33749"/>
    <w:rsid w:val="00F40B56"/>
    <w:rsid w:val="00F41BE4"/>
    <w:rsid w:val="00F4230C"/>
    <w:rsid w:val="00F4541D"/>
    <w:rsid w:val="00F53403"/>
    <w:rsid w:val="00F80E26"/>
    <w:rsid w:val="00F80E93"/>
    <w:rsid w:val="00F968A1"/>
    <w:rsid w:val="00FA0F7D"/>
    <w:rsid w:val="00FA2D29"/>
    <w:rsid w:val="00FA5509"/>
    <w:rsid w:val="00FC1B19"/>
    <w:rsid w:val="00FC2621"/>
    <w:rsid w:val="00FC6522"/>
    <w:rsid w:val="00FF00AA"/>
    <w:rsid w:val="00FF3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B0C40"/>
  <w15:chartTrackingRefBased/>
  <w15:docId w15:val="{D039B179-F9DA-4D35-B0BE-EE6EB587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0AA2"/>
    <w:rPr>
      <w:sz w:val="16"/>
      <w:szCs w:val="16"/>
    </w:rPr>
  </w:style>
  <w:style w:type="paragraph" w:styleId="CommentText">
    <w:name w:val="annotation text"/>
    <w:basedOn w:val="Normal"/>
    <w:link w:val="CommentTextChar"/>
    <w:uiPriority w:val="99"/>
    <w:unhideWhenUsed/>
    <w:rsid w:val="00A90AA2"/>
    <w:pPr>
      <w:spacing w:line="240" w:lineRule="auto"/>
    </w:pPr>
    <w:rPr>
      <w:sz w:val="20"/>
      <w:szCs w:val="20"/>
    </w:rPr>
  </w:style>
  <w:style w:type="character" w:customStyle="1" w:styleId="CommentTextChar">
    <w:name w:val="Comment Text Char"/>
    <w:basedOn w:val="DefaultParagraphFont"/>
    <w:link w:val="CommentText"/>
    <w:uiPriority w:val="99"/>
    <w:rsid w:val="00A90AA2"/>
    <w:rPr>
      <w:sz w:val="20"/>
      <w:szCs w:val="20"/>
    </w:rPr>
  </w:style>
  <w:style w:type="paragraph" w:styleId="BalloonText">
    <w:name w:val="Balloon Text"/>
    <w:basedOn w:val="Normal"/>
    <w:link w:val="BalloonTextChar"/>
    <w:uiPriority w:val="99"/>
    <w:semiHidden/>
    <w:unhideWhenUsed/>
    <w:rsid w:val="00A90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2"/>
    <w:rPr>
      <w:rFonts w:ascii="Segoe UI" w:hAnsi="Segoe UI" w:cs="Segoe UI"/>
      <w:sz w:val="18"/>
      <w:szCs w:val="18"/>
    </w:rPr>
  </w:style>
  <w:style w:type="table" w:styleId="TableGrid">
    <w:name w:val="Table Grid"/>
    <w:basedOn w:val="TableNormal"/>
    <w:uiPriority w:val="39"/>
    <w:rsid w:val="00F5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338"/>
    <w:pPr>
      <w:ind w:left="720"/>
      <w:contextualSpacing/>
    </w:pPr>
  </w:style>
  <w:style w:type="paragraph" w:styleId="Header">
    <w:name w:val="header"/>
    <w:basedOn w:val="Normal"/>
    <w:link w:val="HeaderChar"/>
    <w:uiPriority w:val="99"/>
    <w:unhideWhenUsed/>
    <w:rsid w:val="00F13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DCB"/>
  </w:style>
  <w:style w:type="paragraph" w:styleId="Footer">
    <w:name w:val="footer"/>
    <w:basedOn w:val="Normal"/>
    <w:link w:val="FooterChar"/>
    <w:uiPriority w:val="99"/>
    <w:unhideWhenUsed/>
    <w:rsid w:val="00F13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DCB"/>
  </w:style>
  <w:style w:type="paragraph" w:styleId="CommentSubject">
    <w:name w:val="annotation subject"/>
    <w:basedOn w:val="CommentText"/>
    <w:next w:val="CommentText"/>
    <w:link w:val="CommentSubjectChar"/>
    <w:uiPriority w:val="99"/>
    <w:semiHidden/>
    <w:unhideWhenUsed/>
    <w:rsid w:val="00DE4CBD"/>
    <w:rPr>
      <w:b/>
      <w:bCs/>
    </w:rPr>
  </w:style>
  <w:style w:type="character" w:customStyle="1" w:styleId="CommentSubjectChar">
    <w:name w:val="Comment Subject Char"/>
    <w:basedOn w:val="CommentTextChar"/>
    <w:link w:val="CommentSubject"/>
    <w:uiPriority w:val="99"/>
    <w:semiHidden/>
    <w:rsid w:val="00DE4CBD"/>
    <w:rPr>
      <w:b/>
      <w:bCs/>
      <w:sz w:val="20"/>
      <w:szCs w:val="20"/>
    </w:rPr>
  </w:style>
  <w:style w:type="paragraph" w:customStyle="1" w:styleId="JHPtablebullet2">
    <w:name w:val="JHP_table bullet 2"/>
    <w:basedOn w:val="Normal"/>
    <w:rsid w:val="0065077D"/>
    <w:pPr>
      <w:numPr>
        <w:numId w:val="9"/>
      </w:numPr>
      <w:spacing w:after="0" w:line="240" w:lineRule="auto"/>
      <w:ind w:left="720"/>
    </w:pPr>
    <w:rPr>
      <w:rFonts w:ascii="Arial" w:eastAsia="Calibri" w:hAnsi="Arial" w:cs="Arial"/>
      <w:sz w:val="20"/>
      <w:szCs w:val="20"/>
      <w:lang w:val="en-US"/>
    </w:rPr>
  </w:style>
  <w:style w:type="paragraph" w:styleId="EndnoteText">
    <w:name w:val="endnote text"/>
    <w:basedOn w:val="Normal"/>
    <w:link w:val="EndnoteTextChar"/>
    <w:uiPriority w:val="99"/>
    <w:semiHidden/>
    <w:unhideWhenUsed/>
    <w:rsid w:val="0065077D"/>
    <w:pPr>
      <w:spacing w:after="0" w:line="240" w:lineRule="auto"/>
      <w:contextualSpacing/>
    </w:pPr>
    <w:rPr>
      <w:rFonts w:ascii="Arial" w:eastAsia="Calibri" w:hAnsi="Arial" w:cs="Times New Roman"/>
      <w:sz w:val="20"/>
      <w:szCs w:val="20"/>
      <w:lang w:val="en-US"/>
    </w:rPr>
  </w:style>
  <w:style w:type="character" w:customStyle="1" w:styleId="EndnoteTextChar">
    <w:name w:val="Endnote Text Char"/>
    <w:basedOn w:val="DefaultParagraphFont"/>
    <w:link w:val="EndnoteText"/>
    <w:uiPriority w:val="99"/>
    <w:semiHidden/>
    <w:rsid w:val="0065077D"/>
    <w:rPr>
      <w:rFonts w:ascii="Arial" w:eastAsia="Calibri" w:hAnsi="Arial" w:cs="Times New Roman"/>
      <w:sz w:val="20"/>
      <w:szCs w:val="20"/>
      <w:lang w:val="en-US"/>
    </w:rPr>
  </w:style>
  <w:style w:type="character" w:styleId="EndnoteReference">
    <w:name w:val="endnote reference"/>
    <w:uiPriority w:val="99"/>
    <w:semiHidden/>
    <w:unhideWhenUsed/>
    <w:rsid w:val="0065077D"/>
    <w:rPr>
      <w:vertAlign w:val="superscript"/>
    </w:rPr>
  </w:style>
  <w:style w:type="paragraph" w:styleId="NormalWeb">
    <w:name w:val="Normal (Web)"/>
    <w:basedOn w:val="Normal"/>
    <w:uiPriority w:val="99"/>
    <w:unhideWhenUsed/>
    <w:rsid w:val="00A71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4EB6"/>
    <w:rPr>
      <w:color w:val="0000FF"/>
      <w:u w:val="single"/>
    </w:rPr>
  </w:style>
  <w:style w:type="paragraph" w:customStyle="1" w:styleId="JHPbullet1">
    <w:name w:val="JHP_bullet 1"/>
    <w:basedOn w:val="ListParagraph"/>
    <w:qFormat/>
    <w:rsid w:val="00BE0CCD"/>
    <w:pPr>
      <w:numPr>
        <w:numId w:val="25"/>
      </w:numPr>
      <w:spacing w:before="120" w:after="0" w:line="240" w:lineRule="auto"/>
      <w:ind w:left="360"/>
      <w:contextualSpacing w:val="0"/>
    </w:pPr>
    <w:rPr>
      <w:rFonts w:ascii="Adobe Garamond Pro" w:eastAsia="Calibri" w:hAnsi="Adobe Garamond Pro" w:cs="Times New Roman"/>
      <w:sz w:val="24"/>
      <w:szCs w:val="24"/>
      <w:lang w:val="en-US"/>
    </w:rPr>
  </w:style>
  <w:style w:type="paragraph" w:styleId="FootnoteText">
    <w:name w:val="footnote text"/>
    <w:basedOn w:val="Normal"/>
    <w:link w:val="FootnoteTextChar"/>
    <w:uiPriority w:val="99"/>
    <w:semiHidden/>
    <w:unhideWhenUsed/>
    <w:rsid w:val="008874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441"/>
    <w:rPr>
      <w:sz w:val="20"/>
      <w:szCs w:val="20"/>
    </w:rPr>
  </w:style>
  <w:style w:type="character" w:styleId="FootnoteReference">
    <w:name w:val="footnote reference"/>
    <w:basedOn w:val="DefaultParagraphFont"/>
    <w:uiPriority w:val="99"/>
    <w:semiHidden/>
    <w:unhideWhenUsed/>
    <w:rsid w:val="00887441"/>
    <w:rPr>
      <w:vertAlign w:val="superscript"/>
    </w:rPr>
  </w:style>
  <w:style w:type="paragraph" w:styleId="HTMLPreformatted">
    <w:name w:val="HTML Preformatted"/>
    <w:basedOn w:val="Normal"/>
    <w:link w:val="HTMLPreformattedChar"/>
    <w:uiPriority w:val="99"/>
    <w:semiHidden/>
    <w:unhideWhenUsed/>
    <w:rsid w:val="00A0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0337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0668">
      <w:bodyDiv w:val="1"/>
      <w:marLeft w:val="0"/>
      <w:marRight w:val="0"/>
      <w:marTop w:val="0"/>
      <w:marBottom w:val="0"/>
      <w:divBdr>
        <w:top w:val="none" w:sz="0" w:space="0" w:color="auto"/>
        <w:left w:val="none" w:sz="0" w:space="0" w:color="auto"/>
        <w:bottom w:val="none" w:sz="0" w:space="0" w:color="auto"/>
        <w:right w:val="none" w:sz="0" w:space="0" w:color="auto"/>
      </w:divBdr>
    </w:div>
    <w:div w:id="46340816">
      <w:bodyDiv w:val="1"/>
      <w:marLeft w:val="0"/>
      <w:marRight w:val="0"/>
      <w:marTop w:val="0"/>
      <w:marBottom w:val="0"/>
      <w:divBdr>
        <w:top w:val="none" w:sz="0" w:space="0" w:color="auto"/>
        <w:left w:val="none" w:sz="0" w:space="0" w:color="auto"/>
        <w:bottom w:val="none" w:sz="0" w:space="0" w:color="auto"/>
        <w:right w:val="none" w:sz="0" w:space="0" w:color="auto"/>
      </w:divBdr>
    </w:div>
    <w:div w:id="56901332">
      <w:bodyDiv w:val="1"/>
      <w:marLeft w:val="0"/>
      <w:marRight w:val="0"/>
      <w:marTop w:val="0"/>
      <w:marBottom w:val="0"/>
      <w:divBdr>
        <w:top w:val="none" w:sz="0" w:space="0" w:color="auto"/>
        <w:left w:val="none" w:sz="0" w:space="0" w:color="auto"/>
        <w:bottom w:val="none" w:sz="0" w:space="0" w:color="auto"/>
        <w:right w:val="none" w:sz="0" w:space="0" w:color="auto"/>
      </w:divBdr>
    </w:div>
    <w:div w:id="57674084">
      <w:bodyDiv w:val="1"/>
      <w:marLeft w:val="0"/>
      <w:marRight w:val="0"/>
      <w:marTop w:val="0"/>
      <w:marBottom w:val="0"/>
      <w:divBdr>
        <w:top w:val="none" w:sz="0" w:space="0" w:color="auto"/>
        <w:left w:val="none" w:sz="0" w:space="0" w:color="auto"/>
        <w:bottom w:val="none" w:sz="0" w:space="0" w:color="auto"/>
        <w:right w:val="none" w:sz="0" w:space="0" w:color="auto"/>
      </w:divBdr>
    </w:div>
    <w:div w:id="64182637">
      <w:bodyDiv w:val="1"/>
      <w:marLeft w:val="0"/>
      <w:marRight w:val="0"/>
      <w:marTop w:val="0"/>
      <w:marBottom w:val="0"/>
      <w:divBdr>
        <w:top w:val="none" w:sz="0" w:space="0" w:color="auto"/>
        <w:left w:val="none" w:sz="0" w:space="0" w:color="auto"/>
        <w:bottom w:val="none" w:sz="0" w:space="0" w:color="auto"/>
        <w:right w:val="none" w:sz="0" w:space="0" w:color="auto"/>
      </w:divBdr>
    </w:div>
    <w:div w:id="111675439">
      <w:bodyDiv w:val="1"/>
      <w:marLeft w:val="0"/>
      <w:marRight w:val="0"/>
      <w:marTop w:val="0"/>
      <w:marBottom w:val="0"/>
      <w:divBdr>
        <w:top w:val="none" w:sz="0" w:space="0" w:color="auto"/>
        <w:left w:val="none" w:sz="0" w:space="0" w:color="auto"/>
        <w:bottom w:val="none" w:sz="0" w:space="0" w:color="auto"/>
        <w:right w:val="none" w:sz="0" w:space="0" w:color="auto"/>
      </w:divBdr>
    </w:div>
    <w:div w:id="133182559">
      <w:bodyDiv w:val="1"/>
      <w:marLeft w:val="0"/>
      <w:marRight w:val="0"/>
      <w:marTop w:val="0"/>
      <w:marBottom w:val="0"/>
      <w:divBdr>
        <w:top w:val="none" w:sz="0" w:space="0" w:color="auto"/>
        <w:left w:val="none" w:sz="0" w:space="0" w:color="auto"/>
        <w:bottom w:val="none" w:sz="0" w:space="0" w:color="auto"/>
        <w:right w:val="none" w:sz="0" w:space="0" w:color="auto"/>
      </w:divBdr>
    </w:div>
    <w:div w:id="173035546">
      <w:bodyDiv w:val="1"/>
      <w:marLeft w:val="0"/>
      <w:marRight w:val="0"/>
      <w:marTop w:val="0"/>
      <w:marBottom w:val="0"/>
      <w:divBdr>
        <w:top w:val="none" w:sz="0" w:space="0" w:color="auto"/>
        <w:left w:val="none" w:sz="0" w:space="0" w:color="auto"/>
        <w:bottom w:val="none" w:sz="0" w:space="0" w:color="auto"/>
        <w:right w:val="none" w:sz="0" w:space="0" w:color="auto"/>
      </w:divBdr>
    </w:div>
    <w:div w:id="182286109">
      <w:bodyDiv w:val="1"/>
      <w:marLeft w:val="0"/>
      <w:marRight w:val="0"/>
      <w:marTop w:val="0"/>
      <w:marBottom w:val="0"/>
      <w:divBdr>
        <w:top w:val="none" w:sz="0" w:space="0" w:color="auto"/>
        <w:left w:val="none" w:sz="0" w:space="0" w:color="auto"/>
        <w:bottom w:val="none" w:sz="0" w:space="0" w:color="auto"/>
        <w:right w:val="none" w:sz="0" w:space="0" w:color="auto"/>
      </w:divBdr>
    </w:div>
    <w:div w:id="214856028">
      <w:bodyDiv w:val="1"/>
      <w:marLeft w:val="0"/>
      <w:marRight w:val="0"/>
      <w:marTop w:val="0"/>
      <w:marBottom w:val="0"/>
      <w:divBdr>
        <w:top w:val="none" w:sz="0" w:space="0" w:color="auto"/>
        <w:left w:val="none" w:sz="0" w:space="0" w:color="auto"/>
        <w:bottom w:val="none" w:sz="0" w:space="0" w:color="auto"/>
        <w:right w:val="none" w:sz="0" w:space="0" w:color="auto"/>
      </w:divBdr>
    </w:div>
    <w:div w:id="233124617">
      <w:bodyDiv w:val="1"/>
      <w:marLeft w:val="0"/>
      <w:marRight w:val="0"/>
      <w:marTop w:val="0"/>
      <w:marBottom w:val="0"/>
      <w:divBdr>
        <w:top w:val="none" w:sz="0" w:space="0" w:color="auto"/>
        <w:left w:val="none" w:sz="0" w:space="0" w:color="auto"/>
        <w:bottom w:val="none" w:sz="0" w:space="0" w:color="auto"/>
        <w:right w:val="none" w:sz="0" w:space="0" w:color="auto"/>
      </w:divBdr>
    </w:div>
    <w:div w:id="250358736">
      <w:bodyDiv w:val="1"/>
      <w:marLeft w:val="0"/>
      <w:marRight w:val="0"/>
      <w:marTop w:val="0"/>
      <w:marBottom w:val="0"/>
      <w:divBdr>
        <w:top w:val="none" w:sz="0" w:space="0" w:color="auto"/>
        <w:left w:val="none" w:sz="0" w:space="0" w:color="auto"/>
        <w:bottom w:val="none" w:sz="0" w:space="0" w:color="auto"/>
        <w:right w:val="none" w:sz="0" w:space="0" w:color="auto"/>
      </w:divBdr>
    </w:div>
    <w:div w:id="255747757">
      <w:bodyDiv w:val="1"/>
      <w:marLeft w:val="0"/>
      <w:marRight w:val="0"/>
      <w:marTop w:val="0"/>
      <w:marBottom w:val="0"/>
      <w:divBdr>
        <w:top w:val="none" w:sz="0" w:space="0" w:color="auto"/>
        <w:left w:val="none" w:sz="0" w:space="0" w:color="auto"/>
        <w:bottom w:val="none" w:sz="0" w:space="0" w:color="auto"/>
        <w:right w:val="none" w:sz="0" w:space="0" w:color="auto"/>
      </w:divBdr>
    </w:div>
    <w:div w:id="324631538">
      <w:bodyDiv w:val="1"/>
      <w:marLeft w:val="0"/>
      <w:marRight w:val="0"/>
      <w:marTop w:val="0"/>
      <w:marBottom w:val="0"/>
      <w:divBdr>
        <w:top w:val="none" w:sz="0" w:space="0" w:color="auto"/>
        <w:left w:val="none" w:sz="0" w:space="0" w:color="auto"/>
        <w:bottom w:val="none" w:sz="0" w:space="0" w:color="auto"/>
        <w:right w:val="none" w:sz="0" w:space="0" w:color="auto"/>
      </w:divBdr>
    </w:div>
    <w:div w:id="354575987">
      <w:bodyDiv w:val="1"/>
      <w:marLeft w:val="0"/>
      <w:marRight w:val="0"/>
      <w:marTop w:val="0"/>
      <w:marBottom w:val="0"/>
      <w:divBdr>
        <w:top w:val="none" w:sz="0" w:space="0" w:color="auto"/>
        <w:left w:val="none" w:sz="0" w:space="0" w:color="auto"/>
        <w:bottom w:val="none" w:sz="0" w:space="0" w:color="auto"/>
        <w:right w:val="none" w:sz="0" w:space="0" w:color="auto"/>
      </w:divBdr>
    </w:div>
    <w:div w:id="371419770">
      <w:bodyDiv w:val="1"/>
      <w:marLeft w:val="0"/>
      <w:marRight w:val="0"/>
      <w:marTop w:val="0"/>
      <w:marBottom w:val="0"/>
      <w:divBdr>
        <w:top w:val="none" w:sz="0" w:space="0" w:color="auto"/>
        <w:left w:val="none" w:sz="0" w:space="0" w:color="auto"/>
        <w:bottom w:val="none" w:sz="0" w:space="0" w:color="auto"/>
        <w:right w:val="none" w:sz="0" w:space="0" w:color="auto"/>
      </w:divBdr>
    </w:div>
    <w:div w:id="403142028">
      <w:bodyDiv w:val="1"/>
      <w:marLeft w:val="0"/>
      <w:marRight w:val="0"/>
      <w:marTop w:val="0"/>
      <w:marBottom w:val="0"/>
      <w:divBdr>
        <w:top w:val="none" w:sz="0" w:space="0" w:color="auto"/>
        <w:left w:val="none" w:sz="0" w:space="0" w:color="auto"/>
        <w:bottom w:val="none" w:sz="0" w:space="0" w:color="auto"/>
        <w:right w:val="none" w:sz="0" w:space="0" w:color="auto"/>
      </w:divBdr>
    </w:div>
    <w:div w:id="406391046">
      <w:bodyDiv w:val="1"/>
      <w:marLeft w:val="0"/>
      <w:marRight w:val="0"/>
      <w:marTop w:val="0"/>
      <w:marBottom w:val="0"/>
      <w:divBdr>
        <w:top w:val="none" w:sz="0" w:space="0" w:color="auto"/>
        <w:left w:val="none" w:sz="0" w:space="0" w:color="auto"/>
        <w:bottom w:val="none" w:sz="0" w:space="0" w:color="auto"/>
        <w:right w:val="none" w:sz="0" w:space="0" w:color="auto"/>
      </w:divBdr>
    </w:div>
    <w:div w:id="408768711">
      <w:bodyDiv w:val="1"/>
      <w:marLeft w:val="0"/>
      <w:marRight w:val="0"/>
      <w:marTop w:val="0"/>
      <w:marBottom w:val="0"/>
      <w:divBdr>
        <w:top w:val="none" w:sz="0" w:space="0" w:color="auto"/>
        <w:left w:val="none" w:sz="0" w:space="0" w:color="auto"/>
        <w:bottom w:val="none" w:sz="0" w:space="0" w:color="auto"/>
        <w:right w:val="none" w:sz="0" w:space="0" w:color="auto"/>
      </w:divBdr>
    </w:div>
    <w:div w:id="444469365">
      <w:bodyDiv w:val="1"/>
      <w:marLeft w:val="0"/>
      <w:marRight w:val="0"/>
      <w:marTop w:val="0"/>
      <w:marBottom w:val="0"/>
      <w:divBdr>
        <w:top w:val="none" w:sz="0" w:space="0" w:color="auto"/>
        <w:left w:val="none" w:sz="0" w:space="0" w:color="auto"/>
        <w:bottom w:val="none" w:sz="0" w:space="0" w:color="auto"/>
        <w:right w:val="none" w:sz="0" w:space="0" w:color="auto"/>
      </w:divBdr>
    </w:div>
    <w:div w:id="462772142">
      <w:bodyDiv w:val="1"/>
      <w:marLeft w:val="0"/>
      <w:marRight w:val="0"/>
      <w:marTop w:val="0"/>
      <w:marBottom w:val="0"/>
      <w:divBdr>
        <w:top w:val="none" w:sz="0" w:space="0" w:color="auto"/>
        <w:left w:val="none" w:sz="0" w:space="0" w:color="auto"/>
        <w:bottom w:val="none" w:sz="0" w:space="0" w:color="auto"/>
        <w:right w:val="none" w:sz="0" w:space="0" w:color="auto"/>
      </w:divBdr>
    </w:div>
    <w:div w:id="539124189">
      <w:bodyDiv w:val="1"/>
      <w:marLeft w:val="0"/>
      <w:marRight w:val="0"/>
      <w:marTop w:val="0"/>
      <w:marBottom w:val="0"/>
      <w:divBdr>
        <w:top w:val="none" w:sz="0" w:space="0" w:color="auto"/>
        <w:left w:val="none" w:sz="0" w:space="0" w:color="auto"/>
        <w:bottom w:val="none" w:sz="0" w:space="0" w:color="auto"/>
        <w:right w:val="none" w:sz="0" w:space="0" w:color="auto"/>
      </w:divBdr>
    </w:div>
    <w:div w:id="574972833">
      <w:bodyDiv w:val="1"/>
      <w:marLeft w:val="0"/>
      <w:marRight w:val="0"/>
      <w:marTop w:val="0"/>
      <w:marBottom w:val="0"/>
      <w:divBdr>
        <w:top w:val="none" w:sz="0" w:space="0" w:color="auto"/>
        <w:left w:val="none" w:sz="0" w:space="0" w:color="auto"/>
        <w:bottom w:val="none" w:sz="0" w:space="0" w:color="auto"/>
        <w:right w:val="none" w:sz="0" w:space="0" w:color="auto"/>
      </w:divBdr>
    </w:div>
    <w:div w:id="576746196">
      <w:bodyDiv w:val="1"/>
      <w:marLeft w:val="0"/>
      <w:marRight w:val="0"/>
      <w:marTop w:val="0"/>
      <w:marBottom w:val="0"/>
      <w:divBdr>
        <w:top w:val="none" w:sz="0" w:space="0" w:color="auto"/>
        <w:left w:val="none" w:sz="0" w:space="0" w:color="auto"/>
        <w:bottom w:val="none" w:sz="0" w:space="0" w:color="auto"/>
        <w:right w:val="none" w:sz="0" w:space="0" w:color="auto"/>
      </w:divBdr>
    </w:div>
    <w:div w:id="642467293">
      <w:bodyDiv w:val="1"/>
      <w:marLeft w:val="0"/>
      <w:marRight w:val="0"/>
      <w:marTop w:val="0"/>
      <w:marBottom w:val="0"/>
      <w:divBdr>
        <w:top w:val="none" w:sz="0" w:space="0" w:color="auto"/>
        <w:left w:val="none" w:sz="0" w:space="0" w:color="auto"/>
        <w:bottom w:val="none" w:sz="0" w:space="0" w:color="auto"/>
        <w:right w:val="none" w:sz="0" w:space="0" w:color="auto"/>
      </w:divBdr>
    </w:div>
    <w:div w:id="651520526">
      <w:bodyDiv w:val="1"/>
      <w:marLeft w:val="0"/>
      <w:marRight w:val="0"/>
      <w:marTop w:val="0"/>
      <w:marBottom w:val="0"/>
      <w:divBdr>
        <w:top w:val="none" w:sz="0" w:space="0" w:color="auto"/>
        <w:left w:val="none" w:sz="0" w:space="0" w:color="auto"/>
        <w:bottom w:val="none" w:sz="0" w:space="0" w:color="auto"/>
        <w:right w:val="none" w:sz="0" w:space="0" w:color="auto"/>
      </w:divBdr>
    </w:div>
    <w:div w:id="659424777">
      <w:bodyDiv w:val="1"/>
      <w:marLeft w:val="0"/>
      <w:marRight w:val="0"/>
      <w:marTop w:val="0"/>
      <w:marBottom w:val="0"/>
      <w:divBdr>
        <w:top w:val="none" w:sz="0" w:space="0" w:color="auto"/>
        <w:left w:val="none" w:sz="0" w:space="0" w:color="auto"/>
        <w:bottom w:val="none" w:sz="0" w:space="0" w:color="auto"/>
        <w:right w:val="none" w:sz="0" w:space="0" w:color="auto"/>
      </w:divBdr>
    </w:div>
    <w:div w:id="705523134">
      <w:bodyDiv w:val="1"/>
      <w:marLeft w:val="0"/>
      <w:marRight w:val="0"/>
      <w:marTop w:val="0"/>
      <w:marBottom w:val="0"/>
      <w:divBdr>
        <w:top w:val="none" w:sz="0" w:space="0" w:color="auto"/>
        <w:left w:val="none" w:sz="0" w:space="0" w:color="auto"/>
        <w:bottom w:val="none" w:sz="0" w:space="0" w:color="auto"/>
        <w:right w:val="none" w:sz="0" w:space="0" w:color="auto"/>
      </w:divBdr>
    </w:div>
    <w:div w:id="711613845">
      <w:bodyDiv w:val="1"/>
      <w:marLeft w:val="0"/>
      <w:marRight w:val="0"/>
      <w:marTop w:val="0"/>
      <w:marBottom w:val="0"/>
      <w:divBdr>
        <w:top w:val="none" w:sz="0" w:space="0" w:color="auto"/>
        <w:left w:val="none" w:sz="0" w:space="0" w:color="auto"/>
        <w:bottom w:val="none" w:sz="0" w:space="0" w:color="auto"/>
        <w:right w:val="none" w:sz="0" w:space="0" w:color="auto"/>
      </w:divBdr>
    </w:div>
    <w:div w:id="745498270">
      <w:bodyDiv w:val="1"/>
      <w:marLeft w:val="0"/>
      <w:marRight w:val="0"/>
      <w:marTop w:val="0"/>
      <w:marBottom w:val="0"/>
      <w:divBdr>
        <w:top w:val="none" w:sz="0" w:space="0" w:color="auto"/>
        <w:left w:val="none" w:sz="0" w:space="0" w:color="auto"/>
        <w:bottom w:val="none" w:sz="0" w:space="0" w:color="auto"/>
        <w:right w:val="none" w:sz="0" w:space="0" w:color="auto"/>
      </w:divBdr>
    </w:div>
    <w:div w:id="802696323">
      <w:bodyDiv w:val="1"/>
      <w:marLeft w:val="0"/>
      <w:marRight w:val="0"/>
      <w:marTop w:val="0"/>
      <w:marBottom w:val="0"/>
      <w:divBdr>
        <w:top w:val="none" w:sz="0" w:space="0" w:color="auto"/>
        <w:left w:val="none" w:sz="0" w:space="0" w:color="auto"/>
        <w:bottom w:val="none" w:sz="0" w:space="0" w:color="auto"/>
        <w:right w:val="none" w:sz="0" w:space="0" w:color="auto"/>
      </w:divBdr>
    </w:div>
    <w:div w:id="821656823">
      <w:bodyDiv w:val="1"/>
      <w:marLeft w:val="0"/>
      <w:marRight w:val="0"/>
      <w:marTop w:val="0"/>
      <w:marBottom w:val="0"/>
      <w:divBdr>
        <w:top w:val="none" w:sz="0" w:space="0" w:color="auto"/>
        <w:left w:val="none" w:sz="0" w:space="0" w:color="auto"/>
        <w:bottom w:val="none" w:sz="0" w:space="0" w:color="auto"/>
        <w:right w:val="none" w:sz="0" w:space="0" w:color="auto"/>
      </w:divBdr>
    </w:div>
    <w:div w:id="829905660">
      <w:bodyDiv w:val="1"/>
      <w:marLeft w:val="0"/>
      <w:marRight w:val="0"/>
      <w:marTop w:val="0"/>
      <w:marBottom w:val="0"/>
      <w:divBdr>
        <w:top w:val="none" w:sz="0" w:space="0" w:color="auto"/>
        <w:left w:val="none" w:sz="0" w:space="0" w:color="auto"/>
        <w:bottom w:val="none" w:sz="0" w:space="0" w:color="auto"/>
        <w:right w:val="none" w:sz="0" w:space="0" w:color="auto"/>
      </w:divBdr>
    </w:div>
    <w:div w:id="843713594">
      <w:bodyDiv w:val="1"/>
      <w:marLeft w:val="0"/>
      <w:marRight w:val="0"/>
      <w:marTop w:val="0"/>
      <w:marBottom w:val="0"/>
      <w:divBdr>
        <w:top w:val="none" w:sz="0" w:space="0" w:color="auto"/>
        <w:left w:val="none" w:sz="0" w:space="0" w:color="auto"/>
        <w:bottom w:val="none" w:sz="0" w:space="0" w:color="auto"/>
        <w:right w:val="none" w:sz="0" w:space="0" w:color="auto"/>
      </w:divBdr>
    </w:div>
    <w:div w:id="892891230">
      <w:bodyDiv w:val="1"/>
      <w:marLeft w:val="0"/>
      <w:marRight w:val="0"/>
      <w:marTop w:val="0"/>
      <w:marBottom w:val="0"/>
      <w:divBdr>
        <w:top w:val="none" w:sz="0" w:space="0" w:color="auto"/>
        <w:left w:val="none" w:sz="0" w:space="0" w:color="auto"/>
        <w:bottom w:val="none" w:sz="0" w:space="0" w:color="auto"/>
        <w:right w:val="none" w:sz="0" w:space="0" w:color="auto"/>
      </w:divBdr>
    </w:div>
    <w:div w:id="894512722">
      <w:bodyDiv w:val="1"/>
      <w:marLeft w:val="0"/>
      <w:marRight w:val="0"/>
      <w:marTop w:val="0"/>
      <w:marBottom w:val="0"/>
      <w:divBdr>
        <w:top w:val="none" w:sz="0" w:space="0" w:color="auto"/>
        <w:left w:val="none" w:sz="0" w:space="0" w:color="auto"/>
        <w:bottom w:val="none" w:sz="0" w:space="0" w:color="auto"/>
        <w:right w:val="none" w:sz="0" w:space="0" w:color="auto"/>
      </w:divBdr>
    </w:div>
    <w:div w:id="917445521">
      <w:bodyDiv w:val="1"/>
      <w:marLeft w:val="0"/>
      <w:marRight w:val="0"/>
      <w:marTop w:val="0"/>
      <w:marBottom w:val="0"/>
      <w:divBdr>
        <w:top w:val="none" w:sz="0" w:space="0" w:color="auto"/>
        <w:left w:val="none" w:sz="0" w:space="0" w:color="auto"/>
        <w:bottom w:val="none" w:sz="0" w:space="0" w:color="auto"/>
        <w:right w:val="none" w:sz="0" w:space="0" w:color="auto"/>
      </w:divBdr>
    </w:div>
    <w:div w:id="956957415">
      <w:bodyDiv w:val="1"/>
      <w:marLeft w:val="0"/>
      <w:marRight w:val="0"/>
      <w:marTop w:val="0"/>
      <w:marBottom w:val="0"/>
      <w:divBdr>
        <w:top w:val="none" w:sz="0" w:space="0" w:color="auto"/>
        <w:left w:val="none" w:sz="0" w:space="0" w:color="auto"/>
        <w:bottom w:val="none" w:sz="0" w:space="0" w:color="auto"/>
        <w:right w:val="none" w:sz="0" w:space="0" w:color="auto"/>
      </w:divBdr>
    </w:div>
    <w:div w:id="975066980">
      <w:bodyDiv w:val="1"/>
      <w:marLeft w:val="0"/>
      <w:marRight w:val="0"/>
      <w:marTop w:val="0"/>
      <w:marBottom w:val="0"/>
      <w:divBdr>
        <w:top w:val="none" w:sz="0" w:space="0" w:color="auto"/>
        <w:left w:val="none" w:sz="0" w:space="0" w:color="auto"/>
        <w:bottom w:val="none" w:sz="0" w:space="0" w:color="auto"/>
        <w:right w:val="none" w:sz="0" w:space="0" w:color="auto"/>
      </w:divBdr>
    </w:div>
    <w:div w:id="981079562">
      <w:bodyDiv w:val="1"/>
      <w:marLeft w:val="0"/>
      <w:marRight w:val="0"/>
      <w:marTop w:val="0"/>
      <w:marBottom w:val="0"/>
      <w:divBdr>
        <w:top w:val="none" w:sz="0" w:space="0" w:color="auto"/>
        <w:left w:val="none" w:sz="0" w:space="0" w:color="auto"/>
        <w:bottom w:val="none" w:sz="0" w:space="0" w:color="auto"/>
        <w:right w:val="none" w:sz="0" w:space="0" w:color="auto"/>
      </w:divBdr>
    </w:div>
    <w:div w:id="988099387">
      <w:bodyDiv w:val="1"/>
      <w:marLeft w:val="0"/>
      <w:marRight w:val="0"/>
      <w:marTop w:val="0"/>
      <w:marBottom w:val="0"/>
      <w:divBdr>
        <w:top w:val="none" w:sz="0" w:space="0" w:color="auto"/>
        <w:left w:val="none" w:sz="0" w:space="0" w:color="auto"/>
        <w:bottom w:val="none" w:sz="0" w:space="0" w:color="auto"/>
        <w:right w:val="none" w:sz="0" w:space="0" w:color="auto"/>
      </w:divBdr>
    </w:div>
    <w:div w:id="994796912">
      <w:bodyDiv w:val="1"/>
      <w:marLeft w:val="0"/>
      <w:marRight w:val="0"/>
      <w:marTop w:val="0"/>
      <w:marBottom w:val="0"/>
      <w:divBdr>
        <w:top w:val="none" w:sz="0" w:space="0" w:color="auto"/>
        <w:left w:val="none" w:sz="0" w:space="0" w:color="auto"/>
        <w:bottom w:val="none" w:sz="0" w:space="0" w:color="auto"/>
        <w:right w:val="none" w:sz="0" w:space="0" w:color="auto"/>
      </w:divBdr>
    </w:div>
    <w:div w:id="1001664768">
      <w:bodyDiv w:val="1"/>
      <w:marLeft w:val="0"/>
      <w:marRight w:val="0"/>
      <w:marTop w:val="0"/>
      <w:marBottom w:val="0"/>
      <w:divBdr>
        <w:top w:val="none" w:sz="0" w:space="0" w:color="auto"/>
        <w:left w:val="none" w:sz="0" w:space="0" w:color="auto"/>
        <w:bottom w:val="none" w:sz="0" w:space="0" w:color="auto"/>
        <w:right w:val="none" w:sz="0" w:space="0" w:color="auto"/>
      </w:divBdr>
    </w:div>
    <w:div w:id="1009715306">
      <w:bodyDiv w:val="1"/>
      <w:marLeft w:val="0"/>
      <w:marRight w:val="0"/>
      <w:marTop w:val="0"/>
      <w:marBottom w:val="0"/>
      <w:divBdr>
        <w:top w:val="none" w:sz="0" w:space="0" w:color="auto"/>
        <w:left w:val="none" w:sz="0" w:space="0" w:color="auto"/>
        <w:bottom w:val="none" w:sz="0" w:space="0" w:color="auto"/>
        <w:right w:val="none" w:sz="0" w:space="0" w:color="auto"/>
      </w:divBdr>
    </w:div>
    <w:div w:id="1009940713">
      <w:bodyDiv w:val="1"/>
      <w:marLeft w:val="0"/>
      <w:marRight w:val="0"/>
      <w:marTop w:val="0"/>
      <w:marBottom w:val="0"/>
      <w:divBdr>
        <w:top w:val="none" w:sz="0" w:space="0" w:color="auto"/>
        <w:left w:val="none" w:sz="0" w:space="0" w:color="auto"/>
        <w:bottom w:val="none" w:sz="0" w:space="0" w:color="auto"/>
        <w:right w:val="none" w:sz="0" w:space="0" w:color="auto"/>
      </w:divBdr>
    </w:div>
    <w:div w:id="1026635859">
      <w:bodyDiv w:val="1"/>
      <w:marLeft w:val="0"/>
      <w:marRight w:val="0"/>
      <w:marTop w:val="0"/>
      <w:marBottom w:val="0"/>
      <w:divBdr>
        <w:top w:val="none" w:sz="0" w:space="0" w:color="auto"/>
        <w:left w:val="none" w:sz="0" w:space="0" w:color="auto"/>
        <w:bottom w:val="none" w:sz="0" w:space="0" w:color="auto"/>
        <w:right w:val="none" w:sz="0" w:space="0" w:color="auto"/>
      </w:divBdr>
    </w:div>
    <w:div w:id="1073509975">
      <w:bodyDiv w:val="1"/>
      <w:marLeft w:val="0"/>
      <w:marRight w:val="0"/>
      <w:marTop w:val="0"/>
      <w:marBottom w:val="0"/>
      <w:divBdr>
        <w:top w:val="none" w:sz="0" w:space="0" w:color="auto"/>
        <w:left w:val="none" w:sz="0" w:space="0" w:color="auto"/>
        <w:bottom w:val="none" w:sz="0" w:space="0" w:color="auto"/>
        <w:right w:val="none" w:sz="0" w:space="0" w:color="auto"/>
      </w:divBdr>
    </w:div>
    <w:div w:id="1091779761">
      <w:bodyDiv w:val="1"/>
      <w:marLeft w:val="0"/>
      <w:marRight w:val="0"/>
      <w:marTop w:val="0"/>
      <w:marBottom w:val="0"/>
      <w:divBdr>
        <w:top w:val="none" w:sz="0" w:space="0" w:color="auto"/>
        <w:left w:val="none" w:sz="0" w:space="0" w:color="auto"/>
        <w:bottom w:val="none" w:sz="0" w:space="0" w:color="auto"/>
        <w:right w:val="none" w:sz="0" w:space="0" w:color="auto"/>
      </w:divBdr>
    </w:div>
    <w:div w:id="1114206230">
      <w:bodyDiv w:val="1"/>
      <w:marLeft w:val="0"/>
      <w:marRight w:val="0"/>
      <w:marTop w:val="0"/>
      <w:marBottom w:val="0"/>
      <w:divBdr>
        <w:top w:val="none" w:sz="0" w:space="0" w:color="auto"/>
        <w:left w:val="none" w:sz="0" w:space="0" w:color="auto"/>
        <w:bottom w:val="none" w:sz="0" w:space="0" w:color="auto"/>
        <w:right w:val="none" w:sz="0" w:space="0" w:color="auto"/>
      </w:divBdr>
    </w:div>
    <w:div w:id="1126002250">
      <w:bodyDiv w:val="1"/>
      <w:marLeft w:val="0"/>
      <w:marRight w:val="0"/>
      <w:marTop w:val="0"/>
      <w:marBottom w:val="0"/>
      <w:divBdr>
        <w:top w:val="none" w:sz="0" w:space="0" w:color="auto"/>
        <w:left w:val="none" w:sz="0" w:space="0" w:color="auto"/>
        <w:bottom w:val="none" w:sz="0" w:space="0" w:color="auto"/>
        <w:right w:val="none" w:sz="0" w:space="0" w:color="auto"/>
      </w:divBdr>
    </w:div>
    <w:div w:id="1150708752">
      <w:bodyDiv w:val="1"/>
      <w:marLeft w:val="0"/>
      <w:marRight w:val="0"/>
      <w:marTop w:val="0"/>
      <w:marBottom w:val="0"/>
      <w:divBdr>
        <w:top w:val="none" w:sz="0" w:space="0" w:color="auto"/>
        <w:left w:val="none" w:sz="0" w:space="0" w:color="auto"/>
        <w:bottom w:val="none" w:sz="0" w:space="0" w:color="auto"/>
        <w:right w:val="none" w:sz="0" w:space="0" w:color="auto"/>
      </w:divBdr>
    </w:div>
    <w:div w:id="1153136353">
      <w:bodyDiv w:val="1"/>
      <w:marLeft w:val="0"/>
      <w:marRight w:val="0"/>
      <w:marTop w:val="0"/>
      <w:marBottom w:val="0"/>
      <w:divBdr>
        <w:top w:val="none" w:sz="0" w:space="0" w:color="auto"/>
        <w:left w:val="none" w:sz="0" w:space="0" w:color="auto"/>
        <w:bottom w:val="none" w:sz="0" w:space="0" w:color="auto"/>
        <w:right w:val="none" w:sz="0" w:space="0" w:color="auto"/>
      </w:divBdr>
    </w:div>
    <w:div w:id="1182356146">
      <w:bodyDiv w:val="1"/>
      <w:marLeft w:val="0"/>
      <w:marRight w:val="0"/>
      <w:marTop w:val="0"/>
      <w:marBottom w:val="0"/>
      <w:divBdr>
        <w:top w:val="none" w:sz="0" w:space="0" w:color="auto"/>
        <w:left w:val="none" w:sz="0" w:space="0" w:color="auto"/>
        <w:bottom w:val="none" w:sz="0" w:space="0" w:color="auto"/>
        <w:right w:val="none" w:sz="0" w:space="0" w:color="auto"/>
      </w:divBdr>
    </w:div>
    <w:div w:id="1183671235">
      <w:bodyDiv w:val="1"/>
      <w:marLeft w:val="0"/>
      <w:marRight w:val="0"/>
      <w:marTop w:val="0"/>
      <w:marBottom w:val="0"/>
      <w:divBdr>
        <w:top w:val="none" w:sz="0" w:space="0" w:color="auto"/>
        <w:left w:val="none" w:sz="0" w:space="0" w:color="auto"/>
        <w:bottom w:val="none" w:sz="0" w:space="0" w:color="auto"/>
        <w:right w:val="none" w:sz="0" w:space="0" w:color="auto"/>
      </w:divBdr>
    </w:div>
    <w:div w:id="1193305830">
      <w:bodyDiv w:val="1"/>
      <w:marLeft w:val="0"/>
      <w:marRight w:val="0"/>
      <w:marTop w:val="0"/>
      <w:marBottom w:val="0"/>
      <w:divBdr>
        <w:top w:val="none" w:sz="0" w:space="0" w:color="auto"/>
        <w:left w:val="none" w:sz="0" w:space="0" w:color="auto"/>
        <w:bottom w:val="none" w:sz="0" w:space="0" w:color="auto"/>
        <w:right w:val="none" w:sz="0" w:space="0" w:color="auto"/>
      </w:divBdr>
    </w:div>
    <w:div w:id="1194345525">
      <w:bodyDiv w:val="1"/>
      <w:marLeft w:val="0"/>
      <w:marRight w:val="0"/>
      <w:marTop w:val="0"/>
      <w:marBottom w:val="0"/>
      <w:divBdr>
        <w:top w:val="none" w:sz="0" w:space="0" w:color="auto"/>
        <w:left w:val="none" w:sz="0" w:space="0" w:color="auto"/>
        <w:bottom w:val="none" w:sz="0" w:space="0" w:color="auto"/>
        <w:right w:val="none" w:sz="0" w:space="0" w:color="auto"/>
      </w:divBdr>
    </w:div>
    <w:div w:id="1286693500">
      <w:bodyDiv w:val="1"/>
      <w:marLeft w:val="0"/>
      <w:marRight w:val="0"/>
      <w:marTop w:val="0"/>
      <w:marBottom w:val="0"/>
      <w:divBdr>
        <w:top w:val="none" w:sz="0" w:space="0" w:color="auto"/>
        <w:left w:val="none" w:sz="0" w:space="0" w:color="auto"/>
        <w:bottom w:val="none" w:sz="0" w:space="0" w:color="auto"/>
        <w:right w:val="none" w:sz="0" w:space="0" w:color="auto"/>
      </w:divBdr>
    </w:div>
    <w:div w:id="1327825882">
      <w:bodyDiv w:val="1"/>
      <w:marLeft w:val="0"/>
      <w:marRight w:val="0"/>
      <w:marTop w:val="0"/>
      <w:marBottom w:val="0"/>
      <w:divBdr>
        <w:top w:val="none" w:sz="0" w:space="0" w:color="auto"/>
        <w:left w:val="none" w:sz="0" w:space="0" w:color="auto"/>
        <w:bottom w:val="none" w:sz="0" w:space="0" w:color="auto"/>
        <w:right w:val="none" w:sz="0" w:space="0" w:color="auto"/>
      </w:divBdr>
    </w:div>
    <w:div w:id="1328633718">
      <w:bodyDiv w:val="1"/>
      <w:marLeft w:val="0"/>
      <w:marRight w:val="0"/>
      <w:marTop w:val="0"/>
      <w:marBottom w:val="0"/>
      <w:divBdr>
        <w:top w:val="none" w:sz="0" w:space="0" w:color="auto"/>
        <w:left w:val="none" w:sz="0" w:space="0" w:color="auto"/>
        <w:bottom w:val="none" w:sz="0" w:space="0" w:color="auto"/>
        <w:right w:val="none" w:sz="0" w:space="0" w:color="auto"/>
      </w:divBdr>
    </w:div>
    <w:div w:id="1349329631">
      <w:bodyDiv w:val="1"/>
      <w:marLeft w:val="0"/>
      <w:marRight w:val="0"/>
      <w:marTop w:val="0"/>
      <w:marBottom w:val="0"/>
      <w:divBdr>
        <w:top w:val="none" w:sz="0" w:space="0" w:color="auto"/>
        <w:left w:val="none" w:sz="0" w:space="0" w:color="auto"/>
        <w:bottom w:val="none" w:sz="0" w:space="0" w:color="auto"/>
        <w:right w:val="none" w:sz="0" w:space="0" w:color="auto"/>
      </w:divBdr>
    </w:div>
    <w:div w:id="1356883377">
      <w:bodyDiv w:val="1"/>
      <w:marLeft w:val="0"/>
      <w:marRight w:val="0"/>
      <w:marTop w:val="0"/>
      <w:marBottom w:val="0"/>
      <w:divBdr>
        <w:top w:val="none" w:sz="0" w:space="0" w:color="auto"/>
        <w:left w:val="none" w:sz="0" w:space="0" w:color="auto"/>
        <w:bottom w:val="none" w:sz="0" w:space="0" w:color="auto"/>
        <w:right w:val="none" w:sz="0" w:space="0" w:color="auto"/>
      </w:divBdr>
    </w:div>
    <w:div w:id="1362897417">
      <w:bodyDiv w:val="1"/>
      <w:marLeft w:val="0"/>
      <w:marRight w:val="0"/>
      <w:marTop w:val="0"/>
      <w:marBottom w:val="0"/>
      <w:divBdr>
        <w:top w:val="none" w:sz="0" w:space="0" w:color="auto"/>
        <w:left w:val="none" w:sz="0" w:space="0" w:color="auto"/>
        <w:bottom w:val="none" w:sz="0" w:space="0" w:color="auto"/>
        <w:right w:val="none" w:sz="0" w:space="0" w:color="auto"/>
      </w:divBdr>
    </w:div>
    <w:div w:id="1432975180">
      <w:bodyDiv w:val="1"/>
      <w:marLeft w:val="0"/>
      <w:marRight w:val="0"/>
      <w:marTop w:val="0"/>
      <w:marBottom w:val="0"/>
      <w:divBdr>
        <w:top w:val="none" w:sz="0" w:space="0" w:color="auto"/>
        <w:left w:val="none" w:sz="0" w:space="0" w:color="auto"/>
        <w:bottom w:val="none" w:sz="0" w:space="0" w:color="auto"/>
        <w:right w:val="none" w:sz="0" w:space="0" w:color="auto"/>
      </w:divBdr>
    </w:div>
    <w:div w:id="1441408802">
      <w:bodyDiv w:val="1"/>
      <w:marLeft w:val="0"/>
      <w:marRight w:val="0"/>
      <w:marTop w:val="0"/>
      <w:marBottom w:val="0"/>
      <w:divBdr>
        <w:top w:val="none" w:sz="0" w:space="0" w:color="auto"/>
        <w:left w:val="none" w:sz="0" w:space="0" w:color="auto"/>
        <w:bottom w:val="none" w:sz="0" w:space="0" w:color="auto"/>
        <w:right w:val="none" w:sz="0" w:space="0" w:color="auto"/>
      </w:divBdr>
    </w:div>
    <w:div w:id="1443644268">
      <w:bodyDiv w:val="1"/>
      <w:marLeft w:val="0"/>
      <w:marRight w:val="0"/>
      <w:marTop w:val="0"/>
      <w:marBottom w:val="0"/>
      <w:divBdr>
        <w:top w:val="none" w:sz="0" w:space="0" w:color="auto"/>
        <w:left w:val="none" w:sz="0" w:space="0" w:color="auto"/>
        <w:bottom w:val="none" w:sz="0" w:space="0" w:color="auto"/>
        <w:right w:val="none" w:sz="0" w:space="0" w:color="auto"/>
      </w:divBdr>
    </w:div>
    <w:div w:id="1485585574">
      <w:bodyDiv w:val="1"/>
      <w:marLeft w:val="0"/>
      <w:marRight w:val="0"/>
      <w:marTop w:val="0"/>
      <w:marBottom w:val="0"/>
      <w:divBdr>
        <w:top w:val="none" w:sz="0" w:space="0" w:color="auto"/>
        <w:left w:val="none" w:sz="0" w:space="0" w:color="auto"/>
        <w:bottom w:val="none" w:sz="0" w:space="0" w:color="auto"/>
        <w:right w:val="none" w:sz="0" w:space="0" w:color="auto"/>
      </w:divBdr>
    </w:div>
    <w:div w:id="1504974979">
      <w:bodyDiv w:val="1"/>
      <w:marLeft w:val="0"/>
      <w:marRight w:val="0"/>
      <w:marTop w:val="0"/>
      <w:marBottom w:val="0"/>
      <w:divBdr>
        <w:top w:val="none" w:sz="0" w:space="0" w:color="auto"/>
        <w:left w:val="none" w:sz="0" w:space="0" w:color="auto"/>
        <w:bottom w:val="none" w:sz="0" w:space="0" w:color="auto"/>
        <w:right w:val="none" w:sz="0" w:space="0" w:color="auto"/>
      </w:divBdr>
    </w:div>
    <w:div w:id="1505317974">
      <w:bodyDiv w:val="1"/>
      <w:marLeft w:val="0"/>
      <w:marRight w:val="0"/>
      <w:marTop w:val="0"/>
      <w:marBottom w:val="0"/>
      <w:divBdr>
        <w:top w:val="none" w:sz="0" w:space="0" w:color="auto"/>
        <w:left w:val="none" w:sz="0" w:space="0" w:color="auto"/>
        <w:bottom w:val="none" w:sz="0" w:space="0" w:color="auto"/>
        <w:right w:val="none" w:sz="0" w:space="0" w:color="auto"/>
      </w:divBdr>
    </w:div>
    <w:div w:id="1508206365">
      <w:bodyDiv w:val="1"/>
      <w:marLeft w:val="0"/>
      <w:marRight w:val="0"/>
      <w:marTop w:val="0"/>
      <w:marBottom w:val="0"/>
      <w:divBdr>
        <w:top w:val="none" w:sz="0" w:space="0" w:color="auto"/>
        <w:left w:val="none" w:sz="0" w:space="0" w:color="auto"/>
        <w:bottom w:val="none" w:sz="0" w:space="0" w:color="auto"/>
        <w:right w:val="none" w:sz="0" w:space="0" w:color="auto"/>
      </w:divBdr>
    </w:div>
    <w:div w:id="1524780097">
      <w:bodyDiv w:val="1"/>
      <w:marLeft w:val="0"/>
      <w:marRight w:val="0"/>
      <w:marTop w:val="0"/>
      <w:marBottom w:val="0"/>
      <w:divBdr>
        <w:top w:val="none" w:sz="0" w:space="0" w:color="auto"/>
        <w:left w:val="none" w:sz="0" w:space="0" w:color="auto"/>
        <w:bottom w:val="none" w:sz="0" w:space="0" w:color="auto"/>
        <w:right w:val="none" w:sz="0" w:space="0" w:color="auto"/>
      </w:divBdr>
    </w:div>
    <w:div w:id="1532113364">
      <w:bodyDiv w:val="1"/>
      <w:marLeft w:val="0"/>
      <w:marRight w:val="0"/>
      <w:marTop w:val="0"/>
      <w:marBottom w:val="0"/>
      <w:divBdr>
        <w:top w:val="none" w:sz="0" w:space="0" w:color="auto"/>
        <w:left w:val="none" w:sz="0" w:space="0" w:color="auto"/>
        <w:bottom w:val="none" w:sz="0" w:space="0" w:color="auto"/>
        <w:right w:val="none" w:sz="0" w:space="0" w:color="auto"/>
      </w:divBdr>
    </w:div>
    <w:div w:id="1552037575">
      <w:bodyDiv w:val="1"/>
      <w:marLeft w:val="0"/>
      <w:marRight w:val="0"/>
      <w:marTop w:val="0"/>
      <w:marBottom w:val="0"/>
      <w:divBdr>
        <w:top w:val="none" w:sz="0" w:space="0" w:color="auto"/>
        <w:left w:val="none" w:sz="0" w:space="0" w:color="auto"/>
        <w:bottom w:val="none" w:sz="0" w:space="0" w:color="auto"/>
        <w:right w:val="none" w:sz="0" w:space="0" w:color="auto"/>
      </w:divBdr>
    </w:div>
    <w:div w:id="1554273993">
      <w:bodyDiv w:val="1"/>
      <w:marLeft w:val="0"/>
      <w:marRight w:val="0"/>
      <w:marTop w:val="0"/>
      <w:marBottom w:val="0"/>
      <w:divBdr>
        <w:top w:val="none" w:sz="0" w:space="0" w:color="auto"/>
        <w:left w:val="none" w:sz="0" w:space="0" w:color="auto"/>
        <w:bottom w:val="none" w:sz="0" w:space="0" w:color="auto"/>
        <w:right w:val="none" w:sz="0" w:space="0" w:color="auto"/>
      </w:divBdr>
    </w:div>
    <w:div w:id="1622497096">
      <w:bodyDiv w:val="1"/>
      <w:marLeft w:val="0"/>
      <w:marRight w:val="0"/>
      <w:marTop w:val="0"/>
      <w:marBottom w:val="0"/>
      <w:divBdr>
        <w:top w:val="none" w:sz="0" w:space="0" w:color="auto"/>
        <w:left w:val="none" w:sz="0" w:space="0" w:color="auto"/>
        <w:bottom w:val="none" w:sz="0" w:space="0" w:color="auto"/>
        <w:right w:val="none" w:sz="0" w:space="0" w:color="auto"/>
      </w:divBdr>
    </w:div>
    <w:div w:id="1644389450">
      <w:bodyDiv w:val="1"/>
      <w:marLeft w:val="0"/>
      <w:marRight w:val="0"/>
      <w:marTop w:val="0"/>
      <w:marBottom w:val="0"/>
      <w:divBdr>
        <w:top w:val="none" w:sz="0" w:space="0" w:color="auto"/>
        <w:left w:val="none" w:sz="0" w:space="0" w:color="auto"/>
        <w:bottom w:val="none" w:sz="0" w:space="0" w:color="auto"/>
        <w:right w:val="none" w:sz="0" w:space="0" w:color="auto"/>
      </w:divBdr>
    </w:div>
    <w:div w:id="1680616077">
      <w:bodyDiv w:val="1"/>
      <w:marLeft w:val="0"/>
      <w:marRight w:val="0"/>
      <w:marTop w:val="0"/>
      <w:marBottom w:val="0"/>
      <w:divBdr>
        <w:top w:val="none" w:sz="0" w:space="0" w:color="auto"/>
        <w:left w:val="none" w:sz="0" w:space="0" w:color="auto"/>
        <w:bottom w:val="none" w:sz="0" w:space="0" w:color="auto"/>
        <w:right w:val="none" w:sz="0" w:space="0" w:color="auto"/>
      </w:divBdr>
    </w:div>
    <w:div w:id="1768427072">
      <w:bodyDiv w:val="1"/>
      <w:marLeft w:val="0"/>
      <w:marRight w:val="0"/>
      <w:marTop w:val="0"/>
      <w:marBottom w:val="0"/>
      <w:divBdr>
        <w:top w:val="none" w:sz="0" w:space="0" w:color="auto"/>
        <w:left w:val="none" w:sz="0" w:space="0" w:color="auto"/>
        <w:bottom w:val="none" w:sz="0" w:space="0" w:color="auto"/>
        <w:right w:val="none" w:sz="0" w:space="0" w:color="auto"/>
      </w:divBdr>
    </w:div>
    <w:div w:id="1854687632">
      <w:bodyDiv w:val="1"/>
      <w:marLeft w:val="0"/>
      <w:marRight w:val="0"/>
      <w:marTop w:val="0"/>
      <w:marBottom w:val="0"/>
      <w:divBdr>
        <w:top w:val="none" w:sz="0" w:space="0" w:color="auto"/>
        <w:left w:val="none" w:sz="0" w:space="0" w:color="auto"/>
        <w:bottom w:val="none" w:sz="0" w:space="0" w:color="auto"/>
        <w:right w:val="none" w:sz="0" w:space="0" w:color="auto"/>
      </w:divBdr>
    </w:div>
    <w:div w:id="1855027646">
      <w:bodyDiv w:val="1"/>
      <w:marLeft w:val="0"/>
      <w:marRight w:val="0"/>
      <w:marTop w:val="0"/>
      <w:marBottom w:val="0"/>
      <w:divBdr>
        <w:top w:val="none" w:sz="0" w:space="0" w:color="auto"/>
        <w:left w:val="none" w:sz="0" w:space="0" w:color="auto"/>
        <w:bottom w:val="none" w:sz="0" w:space="0" w:color="auto"/>
        <w:right w:val="none" w:sz="0" w:space="0" w:color="auto"/>
      </w:divBdr>
    </w:div>
    <w:div w:id="1974751052">
      <w:bodyDiv w:val="1"/>
      <w:marLeft w:val="0"/>
      <w:marRight w:val="0"/>
      <w:marTop w:val="0"/>
      <w:marBottom w:val="0"/>
      <w:divBdr>
        <w:top w:val="none" w:sz="0" w:space="0" w:color="auto"/>
        <w:left w:val="none" w:sz="0" w:space="0" w:color="auto"/>
        <w:bottom w:val="none" w:sz="0" w:space="0" w:color="auto"/>
        <w:right w:val="none" w:sz="0" w:space="0" w:color="auto"/>
      </w:divBdr>
    </w:div>
    <w:div w:id="2050957156">
      <w:bodyDiv w:val="1"/>
      <w:marLeft w:val="0"/>
      <w:marRight w:val="0"/>
      <w:marTop w:val="0"/>
      <w:marBottom w:val="0"/>
      <w:divBdr>
        <w:top w:val="none" w:sz="0" w:space="0" w:color="auto"/>
        <w:left w:val="none" w:sz="0" w:space="0" w:color="auto"/>
        <w:bottom w:val="none" w:sz="0" w:space="0" w:color="auto"/>
        <w:right w:val="none" w:sz="0" w:space="0" w:color="auto"/>
      </w:divBdr>
    </w:div>
    <w:div w:id="2054230821">
      <w:bodyDiv w:val="1"/>
      <w:marLeft w:val="0"/>
      <w:marRight w:val="0"/>
      <w:marTop w:val="0"/>
      <w:marBottom w:val="0"/>
      <w:divBdr>
        <w:top w:val="none" w:sz="0" w:space="0" w:color="auto"/>
        <w:left w:val="none" w:sz="0" w:space="0" w:color="auto"/>
        <w:bottom w:val="none" w:sz="0" w:space="0" w:color="auto"/>
        <w:right w:val="none" w:sz="0" w:space="0" w:color="auto"/>
      </w:divBdr>
    </w:div>
    <w:div w:id="2078240259">
      <w:bodyDiv w:val="1"/>
      <w:marLeft w:val="0"/>
      <w:marRight w:val="0"/>
      <w:marTop w:val="0"/>
      <w:marBottom w:val="0"/>
      <w:divBdr>
        <w:top w:val="none" w:sz="0" w:space="0" w:color="auto"/>
        <w:left w:val="none" w:sz="0" w:space="0" w:color="auto"/>
        <w:bottom w:val="none" w:sz="0" w:space="0" w:color="auto"/>
        <w:right w:val="none" w:sz="0" w:space="0" w:color="auto"/>
      </w:divBdr>
    </w:div>
    <w:div w:id="2111193916">
      <w:bodyDiv w:val="1"/>
      <w:marLeft w:val="0"/>
      <w:marRight w:val="0"/>
      <w:marTop w:val="0"/>
      <w:marBottom w:val="0"/>
      <w:divBdr>
        <w:top w:val="none" w:sz="0" w:space="0" w:color="auto"/>
        <w:left w:val="none" w:sz="0" w:space="0" w:color="auto"/>
        <w:bottom w:val="none" w:sz="0" w:space="0" w:color="auto"/>
        <w:right w:val="none" w:sz="0" w:space="0" w:color="auto"/>
      </w:divBdr>
    </w:div>
    <w:div w:id="21269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EACD-7AC3-41D3-96A8-1A758E12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33340</Words>
  <Characters>190041</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Joe</dc:creator>
  <cp:keywords/>
  <dc:description/>
  <cp:lastModifiedBy>Collins, Joe</cp:lastModifiedBy>
  <cp:revision>3</cp:revision>
  <dcterms:created xsi:type="dcterms:W3CDTF">2021-02-11T15:56:00Z</dcterms:created>
  <dcterms:modified xsi:type="dcterms:W3CDTF">2021-05-11T13:08:00Z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a0a2f790-1e9c-3bfa-8709-2726ea4d2540</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